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AC0F860">
      <w:pPr>
        <w:spacing w:before="240"/>
        <w:rPr>
          <w:rFonts w:ascii="宋体" w:hAnsi="宋体"/>
          <w:b/>
          <w:bCs/>
          <w:sz w:val="84"/>
        </w:rPr>
      </w:pPr>
    </w:p>
    <w:p w14:paraId="480C5252">
      <w:pPr>
        <w:spacing w:before="240"/>
        <w:rPr>
          <w:rFonts w:ascii="宋体" w:hAnsi="宋体"/>
          <w:b/>
          <w:bCs/>
          <w:sz w:val="84"/>
        </w:rPr>
      </w:pPr>
    </w:p>
    <w:p w14:paraId="1897430D">
      <w:pPr>
        <w:spacing w:before="240"/>
        <w:jc w:val="center"/>
        <w:rPr>
          <w:rFonts w:ascii="宋体" w:hAnsi="宋体"/>
          <w:b/>
          <w:bCs/>
          <w:sz w:val="84"/>
        </w:rPr>
      </w:pPr>
      <w:r>
        <w:rPr>
          <w:rFonts w:hint="eastAsia" w:ascii="宋体" w:hAnsi="宋体"/>
          <w:b/>
          <w:bCs/>
          <w:sz w:val="84"/>
        </w:rPr>
        <w:t>校内采购文件</w:t>
      </w:r>
    </w:p>
    <w:p w14:paraId="3B801D5B">
      <w:pPr>
        <w:spacing w:before="240" w:line="0" w:lineRule="atLeast"/>
        <w:rPr>
          <w:rFonts w:ascii="宋体" w:hAnsi="宋体"/>
          <w:b/>
          <w:sz w:val="44"/>
          <w:szCs w:val="20"/>
        </w:rPr>
      </w:pPr>
    </w:p>
    <w:p w14:paraId="1B87B2B0">
      <w:pPr>
        <w:spacing w:before="240" w:line="0" w:lineRule="atLeast"/>
        <w:rPr>
          <w:rFonts w:ascii="宋体" w:hAnsi="宋体"/>
          <w:b/>
          <w:sz w:val="44"/>
          <w:szCs w:val="20"/>
        </w:rPr>
      </w:pPr>
    </w:p>
    <w:p w14:paraId="6F57BE89">
      <w:pPr>
        <w:spacing w:before="240" w:line="0" w:lineRule="atLeast"/>
        <w:rPr>
          <w:rFonts w:ascii="宋体" w:hAnsi="宋体"/>
          <w:b/>
          <w:bCs/>
          <w:sz w:val="32"/>
          <w:szCs w:val="20"/>
        </w:rPr>
      </w:pPr>
    </w:p>
    <w:p w14:paraId="39007FD0">
      <w:pPr>
        <w:spacing w:before="240" w:line="0" w:lineRule="atLeast"/>
        <w:jc w:val="center"/>
        <w:rPr>
          <w:rFonts w:ascii="宋体" w:hAnsi="宋体"/>
          <w:b/>
          <w:bCs/>
          <w:sz w:val="32"/>
          <w:szCs w:val="20"/>
          <w:u w:val="single"/>
        </w:rPr>
      </w:pPr>
      <w:r>
        <w:rPr>
          <w:rFonts w:hint="eastAsia" w:ascii="宋体" w:hAnsi="宋体"/>
          <w:b/>
          <w:bCs/>
          <w:sz w:val="32"/>
          <w:szCs w:val="20"/>
        </w:rPr>
        <w:t xml:space="preserve"> </w:t>
      </w:r>
    </w:p>
    <w:p w14:paraId="10A5948D">
      <w:pPr>
        <w:spacing w:before="240" w:line="0" w:lineRule="atLeast"/>
        <w:rPr>
          <w:rFonts w:ascii="宋体" w:hAnsi="宋体"/>
          <w:b/>
          <w:bCs/>
          <w:sz w:val="32"/>
          <w:szCs w:val="20"/>
          <w:u w:val="single"/>
        </w:rPr>
      </w:pPr>
    </w:p>
    <w:p w14:paraId="24B69DAE">
      <w:pPr>
        <w:widowControl/>
        <w:shd w:val="clear" w:color="auto" w:fill="FFFFFF"/>
        <w:spacing w:line="300" w:lineRule="atLeast"/>
        <w:jc w:val="center"/>
        <w:rPr>
          <w:rFonts w:hint="eastAsia" w:ascii="宋体" w:hAnsi="宋体" w:eastAsia="宋体" w:cs="宋体"/>
          <w:b/>
          <w:kern w:val="0"/>
          <w:sz w:val="44"/>
          <w:szCs w:val="44"/>
          <w:lang w:eastAsia="zh-CN"/>
        </w:rPr>
      </w:pPr>
      <w:r>
        <w:rPr>
          <w:rFonts w:hint="eastAsia" w:ascii="宋体" w:hAnsi="宋体"/>
          <w:b/>
          <w:bCs/>
          <w:sz w:val="32"/>
          <w:szCs w:val="20"/>
        </w:rPr>
        <w:t>项目名称：</w:t>
      </w:r>
      <w:r>
        <w:rPr>
          <w:rFonts w:hint="eastAsia"/>
          <w:b/>
          <w:bCs/>
          <w:sz w:val="32"/>
          <w:szCs w:val="32"/>
          <w:u w:val="single"/>
          <w:lang w:eastAsia="zh-CN"/>
        </w:rPr>
        <w:t>厦门技师学院新能源汽车采购</w:t>
      </w:r>
    </w:p>
    <w:p w14:paraId="7FC8BB82">
      <w:pPr>
        <w:spacing w:before="240" w:line="0" w:lineRule="atLeast"/>
        <w:ind w:firstLine="154" w:firstLineChars="48"/>
        <w:rPr>
          <w:rFonts w:ascii="宋体" w:hAnsi="宋体"/>
          <w:b/>
          <w:bCs/>
          <w:sz w:val="32"/>
          <w:szCs w:val="20"/>
          <w:u w:val="single"/>
        </w:rPr>
      </w:pPr>
    </w:p>
    <w:p w14:paraId="32AE4861">
      <w:pPr>
        <w:spacing w:before="240" w:line="0" w:lineRule="atLeast"/>
        <w:rPr>
          <w:rFonts w:ascii="宋体" w:hAnsi="宋体"/>
          <w:b/>
          <w:sz w:val="30"/>
          <w:szCs w:val="20"/>
          <w:u w:val="single"/>
        </w:rPr>
      </w:pPr>
    </w:p>
    <w:p w14:paraId="4D7ED1D4">
      <w:pPr>
        <w:spacing w:before="240" w:line="0" w:lineRule="atLeast"/>
        <w:rPr>
          <w:rFonts w:ascii="宋体" w:hAnsi="宋体"/>
          <w:b/>
          <w:szCs w:val="20"/>
        </w:rPr>
      </w:pPr>
    </w:p>
    <w:p w14:paraId="6B5D0558">
      <w:pPr>
        <w:tabs>
          <w:tab w:val="left" w:pos="5304"/>
        </w:tabs>
        <w:spacing w:before="240" w:line="0" w:lineRule="atLeast"/>
        <w:rPr>
          <w:rFonts w:ascii="宋体" w:hAnsi="宋体"/>
          <w:b/>
          <w:szCs w:val="20"/>
        </w:rPr>
      </w:pPr>
      <w:r>
        <w:rPr>
          <w:rFonts w:ascii="宋体" w:hAnsi="宋体"/>
          <w:b/>
          <w:szCs w:val="20"/>
        </w:rPr>
        <w:tab/>
      </w:r>
    </w:p>
    <w:p w14:paraId="1CC63F97">
      <w:pPr>
        <w:spacing w:before="240" w:line="0" w:lineRule="atLeast"/>
        <w:rPr>
          <w:rFonts w:ascii="宋体" w:hAnsi="宋体"/>
          <w:b/>
          <w:szCs w:val="20"/>
        </w:rPr>
      </w:pPr>
    </w:p>
    <w:p w14:paraId="2F2958E7">
      <w:pPr>
        <w:spacing w:before="240" w:line="360" w:lineRule="auto"/>
        <w:jc w:val="center"/>
        <w:rPr>
          <w:rFonts w:ascii="宋体" w:hAnsi="宋体"/>
          <w:b/>
          <w:spacing w:val="20"/>
          <w:sz w:val="32"/>
          <w:szCs w:val="32"/>
          <w:u w:val="single"/>
        </w:rPr>
      </w:pPr>
      <w:r>
        <w:rPr>
          <w:rFonts w:hint="eastAsia" w:ascii="宋体" w:hAnsi="宋体"/>
          <w:b/>
          <w:spacing w:val="20"/>
          <w:sz w:val="32"/>
          <w:szCs w:val="20"/>
        </w:rPr>
        <w:t>采 购 人:</w:t>
      </w:r>
      <w:r>
        <w:rPr>
          <w:rFonts w:hint="eastAsia" w:ascii="宋体" w:hAnsi="宋体"/>
        </w:rPr>
        <w:t xml:space="preserve"> </w:t>
      </w:r>
      <w:r>
        <w:rPr>
          <w:rFonts w:hint="eastAsia" w:ascii="宋体" w:hAnsi="宋体"/>
          <w:b/>
          <w:spacing w:val="20"/>
          <w:sz w:val="32"/>
          <w:szCs w:val="32"/>
          <w:u w:val="single"/>
        </w:rPr>
        <w:t>厦门技师学院</w:t>
      </w:r>
    </w:p>
    <w:p w14:paraId="3731B827">
      <w:pPr>
        <w:spacing w:before="240" w:line="360" w:lineRule="auto"/>
        <w:ind w:firstLine="2094" w:firstLineChars="745"/>
        <w:rPr>
          <w:rFonts w:ascii="宋体" w:hAnsi="宋体"/>
          <w:b/>
          <w:szCs w:val="20"/>
        </w:rPr>
      </w:pPr>
    </w:p>
    <w:p w14:paraId="541B3141">
      <w:pPr>
        <w:pStyle w:val="10"/>
        <w:spacing w:line="440" w:lineRule="exact"/>
        <w:jc w:val="center"/>
        <w:rPr>
          <w:rFonts w:hAnsi="宋体"/>
          <w:b/>
          <w:sz w:val="32"/>
        </w:rPr>
      </w:pPr>
      <w:r>
        <w:rPr>
          <w:rFonts w:hint="eastAsia" w:hAnsi="宋体"/>
          <w:b/>
          <w:sz w:val="32"/>
        </w:rPr>
        <w:t>202</w:t>
      </w:r>
      <w:r>
        <w:rPr>
          <w:rFonts w:hint="eastAsia" w:hAnsi="宋体"/>
          <w:b/>
          <w:sz w:val="32"/>
          <w:lang w:val="en-US" w:eastAsia="zh-CN"/>
        </w:rPr>
        <w:t>6</w:t>
      </w:r>
      <w:r>
        <w:rPr>
          <w:rFonts w:hAnsi="宋体"/>
          <w:b/>
          <w:sz w:val="32"/>
        </w:rPr>
        <w:t>年</w:t>
      </w:r>
      <w:r>
        <w:rPr>
          <w:rFonts w:hint="eastAsia" w:hAnsi="宋体"/>
          <w:b/>
          <w:sz w:val="32"/>
          <w:lang w:val="en-US" w:eastAsia="zh-CN"/>
        </w:rPr>
        <w:t>6</w:t>
      </w:r>
      <w:r>
        <w:rPr>
          <w:rFonts w:hAnsi="宋体"/>
          <w:b/>
          <w:sz w:val="32"/>
        </w:rPr>
        <w:t>月</w:t>
      </w:r>
    </w:p>
    <w:p w14:paraId="57E9E935">
      <w:pPr>
        <w:pStyle w:val="10"/>
        <w:spacing w:before="240" w:line="440" w:lineRule="exact"/>
        <w:rPr>
          <w:rFonts w:hAnsi="宋体"/>
          <w:b/>
          <w:sz w:val="32"/>
        </w:rPr>
      </w:pPr>
    </w:p>
    <w:p w14:paraId="53D2AFCA">
      <w:pPr>
        <w:pStyle w:val="4"/>
        <w:keepNext w:val="0"/>
        <w:pageBreakBefore/>
        <w:spacing w:before="0" w:after="0" w:line="360" w:lineRule="auto"/>
        <w:jc w:val="center"/>
        <w:rPr>
          <w:rFonts w:ascii="宋体" w:hAnsi="宋体" w:eastAsia="宋体"/>
          <w:sz w:val="21"/>
          <w:szCs w:val="21"/>
        </w:rPr>
      </w:pPr>
      <w:bookmarkStart w:id="0" w:name="_Toc415216370"/>
      <w:bookmarkStart w:id="1" w:name="_Toc185762834"/>
      <w:r>
        <w:rPr>
          <w:rFonts w:hint="eastAsia" w:ascii="宋体" w:hAnsi="宋体" w:eastAsia="宋体"/>
          <w:sz w:val="28"/>
          <w:szCs w:val="28"/>
        </w:rPr>
        <w:t>第一章  采购邀请</w:t>
      </w:r>
      <w:bookmarkEnd w:id="0"/>
      <w:bookmarkEnd w:id="1"/>
    </w:p>
    <w:p w14:paraId="5DF9F0F4">
      <w:pPr>
        <w:pStyle w:val="4"/>
        <w:keepNext w:val="0"/>
        <w:spacing w:before="0" w:after="0" w:line="460" w:lineRule="exact"/>
        <w:jc w:val="center"/>
        <w:rPr>
          <w:rFonts w:ascii="宋体" w:hAnsi="宋体" w:eastAsia="宋体"/>
          <w:sz w:val="28"/>
        </w:rPr>
      </w:pPr>
      <w:bookmarkStart w:id="2" w:name="_Toc415216371"/>
      <w:bookmarkStart w:id="3" w:name="_Toc185762835"/>
      <w:r>
        <w:rPr>
          <w:rFonts w:hint="eastAsia" w:ascii="宋体" w:hAnsi="宋体" w:eastAsia="宋体"/>
          <w:sz w:val="28"/>
        </w:rPr>
        <w:t>一、采购邀请</w:t>
      </w:r>
      <w:bookmarkEnd w:id="2"/>
      <w:bookmarkEnd w:id="3"/>
    </w:p>
    <w:p w14:paraId="28E7CF45">
      <w:pPr>
        <w:spacing w:line="460" w:lineRule="exact"/>
        <w:ind w:firstLine="480" w:firstLineChars="200"/>
        <w:rPr>
          <w:rFonts w:ascii="宋体" w:hAnsi="宋体"/>
          <w:sz w:val="24"/>
        </w:rPr>
      </w:pPr>
      <w:r>
        <w:rPr>
          <w:rFonts w:hint="eastAsia" w:ascii="宋体" w:hAnsi="宋体"/>
          <w:sz w:val="24"/>
        </w:rPr>
        <w:t>厦门技师学院对</w:t>
      </w:r>
      <w:r>
        <w:rPr>
          <w:rFonts w:hint="eastAsia"/>
          <w:b/>
          <w:bCs/>
          <w:sz w:val="24"/>
          <w:szCs w:val="24"/>
          <w:u w:val="single"/>
          <w:lang w:eastAsia="zh-CN"/>
        </w:rPr>
        <w:t>厦门技师学院新能源汽车采购</w:t>
      </w:r>
      <w:r>
        <w:rPr>
          <w:rFonts w:hint="eastAsia" w:ascii="宋体" w:hAnsi="宋体"/>
          <w:bCs/>
          <w:sz w:val="24"/>
        </w:rPr>
        <w:t>项目</w:t>
      </w:r>
      <w:r>
        <w:rPr>
          <w:rFonts w:hint="eastAsia" w:ascii="宋体" w:hAnsi="宋体"/>
          <w:sz w:val="24"/>
        </w:rPr>
        <w:t>以</w:t>
      </w:r>
      <w:r>
        <w:rPr>
          <w:rFonts w:hint="eastAsia" w:ascii="宋体" w:hAnsi="宋体"/>
          <w:b/>
          <w:bCs/>
          <w:sz w:val="24"/>
          <w:u w:val="single"/>
        </w:rPr>
        <w:t>校内采购</w:t>
      </w:r>
      <w:r>
        <w:rPr>
          <w:rFonts w:hint="eastAsia" w:ascii="宋体" w:hAnsi="宋体"/>
          <w:sz w:val="24"/>
        </w:rPr>
        <w:t>方式进行采购，欢迎合格供应商参与密封报价。</w:t>
      </w:r>
    </w:p>
    <w:p w14:paraId="35249D37">
      <w:pPr>
        <w:spacing w:line="460" w:lineRule="exact"/>
        <w:rPr>
          <w:rFonts w:ascii="宋体" w:hAnsi="宋体"/>
          <w:sz w:val="24"/>
        </w:rPr>
      </w:pPr>
      <w:r>
        <w:rPr>
          <w:rFonts w:hint="eastAsia" w:ascii="宋体" w:hAnsi="宋体"/>
          <w:sz w:val="24"/>
        </w:rPr>
        <w:t>1、采购项目(服务)名称、数量及主要技术规格：见附件</w:t>
      </w:r>
    </w:p>
    <w:p w14:paraId="210BF843">
      <w:pPr>
        <w:spacing w:line="460" w:lineRule="exact"/>
        <w:rPr>
          <w:rFonts w:ascii="宋体" w:hAnsi="宋体"/>
          <w:sz w:val="24"/>
        </w:rPr>
      </w:pPr>
      <w:r>
        <w:rPr>
          <w:rFonts w:hint="eastAsia" w:ascii="宋体" w:hAnsi="宋体"/>
          <w:sz w:val="24"/>
        </w:rPr>
        <w:t>2、截止时间：采购响应文件应于[</w:t>
      </w:r>
      <w:r>
        <w:rPr>
          <w:rFonts w:hint="eastAsia" w:ascii="宋体" w:hAnsi="宋体"/>
          <w:sz w:val="24"/>
          <w:u w:val="single"/>
        </w:rPr>
        <w:t>202</w:t>
      </w:r>
      <w:r>
        <w:rPr>
          <w:rFonts w:hint="eastAsia" w:ascii="宋体" w:hAnsi="宋体"/>
          <w:sz w:val="24"/>
          <w:u w:val="single"/>
          <w:lang w:val="en-US" w:eastAsia="zh-CN"/>
        </w:rPr>
        <w:t>6</w:t>
      </w:r>
      <w:r>
        <w:rPr>
          <w:rFonts w:hint="eastAsia" w:ascii="宋体" w:hAnsi="宋体"/>
          <w:sz w:val="24"/>
          <w:u w:val="single"/>
        </w:rPr>
        <w:t>年</w:t>
      </w:r>
      <w:r>
        <w:rPr>
          <w:rFonts w:hint="eastAsia" w:ascii="宋体" w:hAnsi="宋体"/>
          <w:sz w:val="24"/>
          <w:u w:val="single"/>
          <w:lang w:val="en-US" w:eastAsia="zh-CN"/>
        </w:rPr>
        <w:t>6</w:t>
      </w:r>
      <w:r>
        <w:rPr>
          <w:rFonts w:hint="eastAsia" w:ascii="宋体" w:hAnsi="宋体"/>
          <w:sz w:val="24"/>
          <w:u w:val="single"/>
        </w:rPr>
        <w:t>月</w:t>
      </w:r>
      <w:r>
        <w:rPr>
          <w:rFonts w:hint="eastAsia" w:ascii="宋体" w:hAnsi="宋体"/>
          <w:sz w:val="24"/>
          <w:u w:val="single"/>
          <w:lang w:val="en-US" w:eastAsia="zh-CN"/>
        </w:rPr>
        <w:t>29</w:t>
      </w:r>
      <w:r>
        <w:rPr>
          <w:rFonts w:hint="eastAsia" w:ascii="宋体" w:hAnsi="宋体"/>
          <w:sz w:val="24"/>
          <w:u w:val="single"/>
        </w:rPr>
        <w:t>日]</w:t>
      </w:r>
      <w:r>
        <w:rPr>
          <w:rFonts w:hint="eastAsia" w:ascii="宋体" w:hAnsi="宋体"/>
          <w:sz w:val="24"/>
          <w:u w:val="single"/>
          <w:lang w:eastAsia="zh-CN"/>
        </w:rPr>
        <w:t>上</w:t>
      </w:r>
      <w:r>
        <w:rPr>
          <w:rFonts w:hint="eastAsia" w:ascii="宋体" w:hAnsi="宋体"/>
          <w:sz w:val="24"/>
          <w:u w:val="single"/>
        </w:rPr>
        <w:t>午[1</w:t>
      </w:r>
      <w:r>
        <w:rPr>
          <w:rFonts w:hint="eastAsia" w:ascii="宋体" w:hAnsi="宋体"/>
          <w:sz w:val="24"/>
          <w:u w:val="single"/>
          <w:lang w:val="en-US" w:eastAsia="zh-CN"/>
        </w:rPr>
        <w:t>0</w:t>
      </w:r>
      <w:r>
        <w:rPr>
          <w:rFonts w:hint="eastAsia" w:ascii="宋体" w:hAnsi="宋体"/>
          <w:sz w:val="24"/>
          <w:u w:val="single"/>
        </w:rPr>
        <w:t>:00:00]（北京时间）前</w:t>
      </w:r>
      <w:r>
        <w:rPr>
          <w:rFonts w:hint="eastAsia" w:ascii="宋体" w:hAnsi="宋体"/>
          <w:sz w:val="24"/>
        </w:rPr>
        <w:t>提交到[</w:t>
      </w:r>
      <w:r>
        <w:rPr>
          <w:rFonts w:hint="eastAsia" w:ascii="宋体" w:hAnsi="宋体"/>
          <w:b/>
          <w:sz w:val="24"/>
        </w:rPr>
        <w:t>厦门技师学院，崇毅楼8楼，后勤保卫处，</w:t>
      </w:r>
      <w:r>
        <w:rPr>
          <w:rFonts w:hint="eastAsia" w:ascii="宋体" w:hAnsi="宋体"/>
          <w:b/>
          <w:sz w:val="24"/>
          <w:lang w:eastAsia="zh-CN"/>
        </w:rPr>
        <w:t>黄</w:t>
      </w:r>
      <w:r>
        <w:rPr>
          <w:rFonts w:hint="eastAsia" w:ascii="宋体" w:hAnsi="宋体"/>
          <w:b/>
          <w:sz w:val="24"/>
        </w:rPr>
        <w:t>老师</w:t>
      </w:r>
      <w:r>
        <w:rPr>
          <w:rFonts w:hint="eastAsia" w:ascii="宋体" w:hAnsi="宋体"/>
          <w:sz w:val="24"/>
        </w:rPr>
        <w:t>]，采购响应文件应密封并加盖采购响应供应商公章，邮寄提交的或逾期递交的或不符合规定的采购响应文件（未密封并加盖公章）将被拒绝。</w:t>
      </w:r>
    </w:p>
    <w:p w14:paraId="0A9617E6">
      <w:pPr>
        <w:spacing w:line="460" w:lineRule="exact"/>
        <w:rPr>
          <w:rFonts w:hint="eastAsia" w:ascii="宋体" w:hAnsi="宋体"/>
          <w:sz w:val="24"/>
        </w:rPr>
      </w:pPr>
      <w:r>
        <w:rPr>
          <w:rFonts w:hint="eastAsia" w:ascii="宋体" w:hAnsi="宋体"/>
          <w:sz w:val="24"/>
        </w:rPr>
        <w:t>项目经办人及联系方式：黄老师 0592-7760153</w:t>
      </w:r>
    </w:p>
    <w:p w14:paraId="6AE5A03B">
      <w:pPr>
        <w:pStyle w:val="2"/>
        <w:jc w:val="both"/>
        <w:rPr>
          <w:rFonts w:hint="default" w:eastAsia="宋体"/>
          <w:lang w:val="en-US" w:eastAsia="zh-CN"/>
        </w:rPr>
      </w:pPr>
    </w:p>
    <w:p w14:paraId="455C9D5F">
      <w:pPr>
        <w:tabs>
          <w:tab w:val="left" w:pos="2775"/>
        </w:tabs>
        <w:spacing w:line="460" w:lineRule="exact"/>
        <w:rPr>
          <w:rFonts w:ascii="宋体" w:hAnsi="宋体"/>
          <w:kern w:val="0"/>
          <w:sz w:val="24"/>
        </w:rPr>
      </w:pPr>
    </w:p>
    <w:p w14:paraId="360CF680">
      <w:pPr>
        <w:tabs>
          <w:tab w:val="left" w:pos="2775"/>
        </w:tabs>
        <w:spacing w:line="460" w:lineRule="exact"/>
        <w:rPr>
          <w:rFonts w:ascii="宋体" w:hAnsi="宋体"/>
          <w:kern w:val="0"/>
          <w:sz w:val="24"/>
        </w:rPr>
      </w:pPr>
    </w:p>
    <w:p w14:paraId="115CEE78">
      <w:pPr>
        <w:tabs>
          <w:tab w:val="left" w:pos="2775"/>
        </w:tabs>
        <w:spacing w:line="460" w:lineRule="exact"/>
        <w:jc w:val="center"/>
        <w:rPr>
          <w:rFonts w:ascii="宋体" w:hAnsi="宋体"/>
          <w:b/>
          <w:color w:val="000000"/>
          <w:sz w:val="32"/>
          <w:szCs w:val="32"/>
        </w:rPr>
      </w:pPr>
      <w:bookmarkStart w:id="4" w:name="_Toc373916345"/>
      <w:bookmarkStart w:id="5" w:name="_Toc352585778"/>
    </w:p>
    <w:p w14:paraId="7C60F1E9">
      <w:pPr>
        <w:tabs>
          <w:tab w:val="left" w:pos="2775"/>
        </w:tabs>
        <w:spacing w:line="460" w:lineRule="exact"/>
        <w:jc w:val="center"/>
        <w:rPr>
          <w:rFonts w:ascii="宋体" w:hAnsi="宋体"/>
          <w:b/>
          <w:color w:val="000000"/>
          <w:sz w:val="32"/>
          <w:szCs w:val="32"/>
        </w:rPr>
      </w:pPr>
    </w:p>
    <w:p w14:paraId="773D2260">
      <w:pPr>
        <w:tabs>
          <w:tab w:val="left" w:pos="2775"/>
        </w:tabs>
        <w:spacing w:line="460" w:lineRule="exact"/>
        <w:jc w:val="center"/>
        <w:rPr>
          <w:rFonts w:ascii="宋体" w:hAnsi="宋体"/>
          <w:b/>
          <w:color w:val="000000"/>
          <w:sz w:val="32"/>
          <w:szCs w:val="32"/>
        </w:rPr>
      </w:pPr>
    </w:p>
    <w:p w14:paraId="376080D4">
      <w:pPr>
        <w:tabs>
          <w:tab w:val="left" w:pos="2775"/>
        </w:tabs>
        <w:spacing w:line="460" w:lineRule="exact"/>
        <w:jc w:val="center"/>
        <w:rPr>
          <w:rFonts w:ascii="宋体" w:hAnsi="宋体"/>
          <w:b/>
          <w:color w:val="000000"/>
          <w:sz w:val="32"/>
          <w:szCs w:val="32"/>
        </w:rPr>
      </w:pPr>
    </w:p>
    <w:p w14:paraId="1B9EDA64">
      <w:pPr>
        <w:tabs>
          <w:tab w:val="left" w:pos="2775"/>
        </w:tabs>
        <w:spacing w:line="460" w:lineRule="exact"/>
        <w:jc w:val="center"/>
        <w:rPr>
          <w:rFonts w:ascii="宋体" w:hAnsi="宋体"/>
          <w:b/>
          <w:color w:val="000000"/>
          <w:sz w:val="32"/>
          <w:szCs w:val="32"/>
        </w:rPr>
      </w:pPr>
    </w:p>
    <w:p w14:paraId="00568469">
      <w:pPr>
        <w:tabs>
          <w:tab w:val="left" w:pos="2775"/>
        </w:tabs>
        <w:spacing w:line="460" w:lineRule="exact"/>
        <w:jc w:val="center"/>
        <w:rPr>
          <w:rFonts w:ascii="宋体" w:hAnsi="宋体"/>
          <w:b/>
          <w:color w:val="000000"/>
          <w:sz w:val="32"/>
          <w:szCs w:val="32"/>
        </w:rPr>
      </w:pPr>
    </w:p>
    <w:p w14:paraId="06F91D88">
      <w:pPr>
        <w:tabs>
          <w:tab w:val="left" w:pos="2775"/>
        </w:tabs>
        <w:spacing w:line="460" w:lineRule="exact"/>
        <w:jc w:val="center"/>
        <w:rPr>
          <w:rFonts w:ascii="宋体" w:hAnsi="宋体"/>
          <w:b/>
          <w:color w:val="000000"/>
          <w:sz w:val="32"/>
          <w:szCs w:val="32"/>
        </w:rPr>
      </w:pPr>
    </w:p>
    <w:p w14:paraId="1D156EB2">
      <w:pPr>
        <w:tabs>
          <w:tab w:val="left" w:pos="2775"/>
        </w:tabs>
        <w:spacing w:line="460" w:lineRule="exact"/>
        <w:jc w:val="center"/>
        <w:rPr>
          <w:rFonts w:ascii="宋体" w:hAnsi="宋体"/>
          <w:b/>
          <w:color w:val="000000"/>
          <w:sz w:val="32"/>
          <w:szCs w:val="32"/>
        </w:rPr>
      </w:pPr>
    </w:p>
    <w:p w14:paraId="4B44A6DE">
      <w:pPr>
        <w:tabs>
          <w:tab w:val="left" w:pos="2775"/>
        </w:tabs>
        <w:spacing w:line="460" w:lineRule="exact"/>
        <w:jc w:val="center"/>
        <w:rPr>
          <w:rFonts w:ascii="宋体" w:hAnsi="宋体"/>
          <w:b/>
          <w:color w:val="000000"/>
          <w:sz w:val="32"/>
          <w:szCs w:val="32"/>
        </w:rPr>
      </w:pPr>
    </w:p>
    <w:p w14:paraId="5AE06523">
      <w:pPr>
        <w:tabs>
          <w:tab w:val="left" w:pos="2775"/>
        </w:tabs>
        <w:spacing w:line="460" w:lineRule="exact"/>
        <w:jc w:val="center"/>
        <w:rPr>
          <w:rFonts w:ascii="宋体" w:hAnsi="宋体"/>
          <w:b/>
          <w:color w:val="000000"/>
          <w:sz w:val="32"/>
          <w:szCs w:val="32"/>
        </w:rPr>
      </w:pPr>
    </w:p>
    <w:p w14:paraId="1A7399A3">
      <w:pPr>
        <w:tabs>
          <w:tab w:val="left" w:pos="2775"/>
        </w:tabs>
        <w:spacing w:line="460" w:lineRule="exact"/>
        <w:jc w:val="center"/>
        <w:rPr>
          <w:rFonts w:ascii="宋体" w:hAnsi="宋体"/>
          <w:b/>
          <w:color w:val="000000"/>
          <w:sz w:val="32"/>
          <w:szCs w:val="32"/>
        </w:rPr>
      </w:pPr>
    </w:p>
    <w:p w14:paraId="2C0E1CDC">
      <w:pPr>
        <w:tabs>
          <w:tab w:val="left" w:pos="2775"/>
        </w:tabs>
        <w:spacing w:line="460" w:lineRule="exact"/>
        <w:jc w:val="center"/>
        <w:rPr>
          <w:rFonts w:ascii="宋体" w:hAnsi="宋体"/>
          <w:b/>
          <w:color w:val="000000"/>
          <w:sz w:val="32"/>
          <w:szCs w:val="32"/>
        </w:rPr>
      </w:pPr>
    </w:p>
    <w:p w14:paraId="09F60C1E">
      <w:pPr>
        <w:tabs>
          <w:tab w:val="left" w:pos="2775"/>
        </w:tabs>
        <w:spacing w:line="460" w:lineRule="exact"/>
        <w:jc w:val="center"/>
        <w:rPr>
          <w:rFonts w:ascii="宋体" w:hAnsi="宋体"/>
          <w:b/>
          <w:color w:val="000000"/>
          <w:sz w:val="32"/>
          <w:szCs w:val="32"/>
        </w:rPr>
      </w:pPr>
    </w:p>
    <w:p w14:paraId="49FBFDE3">
      <w:pPr>
        <w:tabs>
          <w:tab w:val="left" w:pos="2775"/>
        </w:tabs>
        <w:spacing w:line="460" w:lineRule="exact"/>
        <w:jc w:val="center"/>
        <w:rPr>
          <w:rFonts w:ascii="宋体" w:hAnsi="宋体"/>
          <w:b/>
          <w:color w:val="000000"/>
          <w:sz w:val="32"/>
          <w:szCs w:val="32"/>
        </w:rPr>
      </w:pPr>
    </w:p>
    <w:p w14:paraId="76E9CEA4">
      <w:pPr>
        <w:tabs>
          <w:tab w:val="left" w:pos="2775"/>
        </w:tabs>
        <w:spacing w:line="460" w:lineRule="exact"/>
        <w:rPr>
          <w:rFonts w:ascii="宋体" w:hAnsi="宋体"/>
          <w:b/>
          <w:color w:val="000000"/>
          <w:sz w:val="32"/>
          <w:szCs w:val="32"/>
        </w:rPr>
      </w:pPr>
    </w:p>
    <w:bookmarkEnd w:id="4"/>
    <w:bookmarkEnd w:id="5"/>
    <w:p w14:paraId="7C4FC6B6">
      <w:pPr>
        <w:keepLines/>
        <w:pageBreakBefore/>
        <w:spacing w:before="240" w:line="320" w:lineRule="exact"/>
        <w:jc w:val="center"/>
        <w:outlineLvl w:val="1"/>
        <w:rPr>
          <w:rFonts w:ascii="宋体" w:hAnsi="宋体"/>
          <w:b/>
          <w:szCs w:val="28"/>
        </w:rPr>
      </w:pPr>
      <w:bookmarkStart w:id="6" w:name="_Toc363480078"/>
      <w:bookmarkStart w:id="7" w:name="_Toc185762837"/>
      <w:r>
        <w:rPr>
          <w:rFonts w:hint="eastAsia" w:ascii="宋体" w:hAnsi="宋体"/>
          <w:b/>
          <w:szCs w:val="28"/>
        </w:rPr>
        <w:t>二、采购项目一览表</w:t>
      </w:r>
    </w:p>
    <w:p w14:paraId="5CB88300">
      <w:pPr>
        <w:spacing w:line="320" w:lineRule="exact"/>
        <w:ind w:left="-566" w:leftChars="-202" w:firstLine="236" w:firstLineChars="98"/>
        <w:rPr>
          <w:rFonts w:ascii="宋体" w:hAnsi="宋体"/>
          <w:b/>
          <w:sz w:val="24"/>
        </w:rPr>
      </w:pPr>
      <w:r>
        <w:rPr>
          <w:rFonts w:hint="eastAsia" w:ascii="宋体" w:hAnsi="宋体"/>
          <w:b/>
          <w:sz w:val="24"/>
        </w:rPr>
        <w:t xml:space="preserve">   </w:t>
      </w:r>
    </w:p>
    <w:tbl>
      <w:tblPr>
        <w:tblStyle w:val="16"/>
        <w:tblW w:w="9747" w:type="dxa"/>
        <w:tblInd w:w="0" w:type="dxa"/>
        <w:tblLayout w:type="fixed"/>
        <w:tblCellMar>
          <w:top w:w="0" w:type="dxa"/>
          <w:left w:w="108" w:type="dxa"/>
          <w:bottom w:w="0" w:type="dxa"/>
          <w:right w:w="108" w:type="dxa"/>
        </w:tblCellMar>
      </w:tblPr>
      <w:tblGrid>
        <w:gridCol w:w="3794"/>
        <w:gridCol w:w="2765"/>
        <w:gridCol w:w="1249"/>
        <w:gridCol w:w="1939"/>
      </w:tblGrid>
      <w:tr w14:paraId="21412D03">
        <w:tblPrEx>
          <w:tblCellMar>
            <w:top w:w="0" w:type="dxa"/>
            <w:left w:w="108" w:type="dxa"/>
            <w:bottom w:w="0" w:type="dxa"/>
            <w:right w:w="108" w:type="dxa"/>
          </w:tblCellMar>
        </w:tblPrEx>
        <w:trPr>
          <w:trHeight w:val="497" w:hRule="atLeast"/>
        </w:trPr>
        <w:tc>
          <w:tcPr>
            <w:tcW w:w="3794" w:type="dxa"/>
            <w:tcBorders>
              <w:top w:val="single" w:color="auto" w:sz="4" w:space="0"/>
              <w:left w:val="single" w:color="auto" w:sz="4" w:space="0"/>
              <w:bottom w:val="single" w:color="auto" w:sz="4" w:space="0"/>
              <w:right w:val="single" w:color="auto" w:sz="4" w:space="0"/>
            </w:tcBorders>
            <w:vAlign w:val="center"/>
          </w:tcPr>
          <w:p w14:paraId="706F1652">
            <w:pPr>
              <w:spacing w:line="320" w:lineRule="exact"/>
              <w:jc w:val="center"/>
              <w:rPr>
                <w:rFonts w:ascii="宋体" w:hAnsi="宋体"/>
                <w:sz w:val="24"/>
              </w:rPr>
            </w:pPr>
            <w:r>
              <w:rPr>
                <w:rFonts w:hint="eastAsia" w:ascii="宋体" w:hAnsi="宋体"/>
                <w:sz w:val="24"/>
              </w:rPr>
              <w:t>项目名称</w:t>
            </w:r>
          </w:p>
        </w:tc>
        <w:tc>
          <w:tcPr>
            <w:tcW w:w="2765" w:type="dxa"/>
            <w:tcBorders>
              <w:top w:val="single" w:color="auto" w:sz="4" w:space="0"/>
              <w:left w:val="single" w:color="auto" w:sz="4" w:space="0"/>
              <w:bottom w:val="single" w:color="auto" w:sz="4" w:space="0"/>
              <w:right w:val="single" w:color="auto" w:sz="4" w:space="0"/>
            </w:tcBorders>
            <w:vAlign w:val="center"/>
          </w:tcPr>
          <w:p w14:paraId="18FB2665">
            <w:pPr>
              <w:spacing w:line="320" w:lineRule="exact"/>
              <w:jc w:val="center"/>
              <w:rPr>
                <w:rFonts w:ascii="宋体" w:hAnsi="宋体"/>
                <w:sz w:val="24"/>
              </w:rPr>
            </w:pPr>
            <w:r>
              <w:rPr>
                <w:rFonts w:hint="eastAsia" w:ascii="宋体" w:hAnsi="宋体"/>
                <w:sz w:val="24"/>
              </w:rPr>
              <w:t>项目内容及技术要求</w:t>
            </w:r>
          </w:p>
        </w:tc>
        <w:tc>
          <w:tcPr>
            <w:tcW w:w="1249" w:type="dxa"/>
            <w:tcBorders>
              <w:top w:val="single" w:color="auto" w:sz="4" w:space="0"/>
              <w:left w:val="single" w:color="auto" w:sz="4" w:space="0"/>
              <w:bottom w:val="single" w:color="auto" w:sz="4" w:space="0"/>
              <w:right w:val="single" w:color="auto" w:sz="4" w:space="0"/>
            </w:tcBorders>
            <w:vAlign w:val="center"/>
          </w:tcPr>
          <w:p w14:paraId="6B854290">
            <w:pPr>
              <w:spacing w:line="320" w:lineRule="exact"/>
              <w:jc w:val="center"/>
              <w:rPr>
                <w:rFonts w:ascii="宋体" w:hAnsi="宋体"/>
                <w:sz w:val="24"/>
              </w:rPr>
            </w:pPr>
            <w:r>
              <w:rPr>
                <w:rFonts w:hint="eastAsia" w:ascii="宋体" w:hAnsi="宋体"/>
                <w:sz w:val="24"/>
              </w:rPr>
              <w:t>交付期</w:t>
            </w:r>
          </w:p>
        </w:tc>
        <w:tc>
          <w:tcPr>
            <w:tcW w:w="1939" w:type="dxa"/>
            <w:tcBorders>
              <w:top w:val="single" w:color="auto" w:sz="4" w:space="0"/>
              <w:left w:val="single" w:color="auto" w:sz="4" w:space="0"/>
              <w:bottom w:val="single" w:color="auto" w:sz="4" w:space="0"/>
              <w:right w:val="single" w:color="auto" w:sz="4" w:space="0"/>
            </w:tcBorders>
            <w:vAlign w:val="center"/>
          </w:tcPr>
          <w:p w14:paraId="02EEBC9F">
            <w:pPr>
              <w:spacing w:line="320" w:lineRule="exact"/>
              <w:jc w:val="center"/>
              <w:rPr>
                <w:rFonts w:ascii="宋体" w:hAnsi="宋体"/>
                <w:sz w:val="24"/>
              </w:rPr>
            </w:pPr>
            <w:r>
              <w:rPr>
                <w:rFonts w:hint="eastAsia" w:ascii="宋体" w:hAnsi="宋体"/>
                <w:sz w:val="24"/>
              </w:rPr>
              <w:t>控制价</w:t>
            </w:r>
          </w:p>
        </w:tc>
      </w:tr>
      <w:tr w14:paraId="101A6B8A">
        <w:tblPrEx>
          <w:tblCellMar>
            <w:top w:w="0" w:type="dxa"/>
            <w:left w:w="108" w:type="dxa"/>
            <w:bottom w:w="0" w:type="dxa"/>
            <w:right w:w="108" w:type="dxa"/>
          </w:tblCellMar>
        </w:tblPrEx>
        <w:trPr>
          <w:trHeight w:val="871" w:hRule="atLeast"/>
        </w:trPr>
        <w:tc>
          <w:tcPr>
            <w:tcW w:w="3794" w:type="dxa"/>
            <w:tcBorders>
              <w:top w:val="single" w:color="auto" w:sz="4" w:space="0"/>
              <w:left w:val="single" w:color="auto" w:sz="4" w:space="0"/>
              <w:bottom w:val="single" w:color="auto" w:sz="4" w:space="0"/>
              <w:right w:val="single" w:color="auto" w:sz="4" w:space="0"/>
            </w:tcBorders>
            <w:vAlign w:val="center"/>
          </w:tcPr>
          <w:p w14:paraId="09CF6468">
            <w:pPr>
              <w:spacing w:line="320" w:lineRule="exact"/>
              <w:jc w:val="center"/>
              <w:rPr>
                <w:rFonts w:hint="eastAsia" w:ascii="宋体" w:hAnsi="宋体" w:eastAsia="宋体"/>
                <w:szCs w:val="28"/>
                <w:lang w:eastAsia="zh-CN"/>
              </w:rPr>
            </w:pPr>
            <w:r>
              <w:rPr>
                <w:rFonts w:hint="eastAsia" w:ascii="宋体" w:hAnsi="宋体"/>
                <w:sz w:val="24"/>
                <w:lang w:eastAsia="zh-CN"/>
              </w:rPr>
              <w:t>厦门技师学院新能源汽车采购</w:t>
            </w:r>
          </w:p>
        </w:tc>
        <w:tc>
          <w:tcPr>
            <w:tcW w:w="2765" w:type="dxa"/>
            <w:tcBorders>
              <w:top w:val="single" w:color="auto" w:sz="4" w:space="0"/>
              <w:left w:val="single" w:color="auto" w:sz="4" w:space="0"/>
              <w:bottom w:val="single" w:color="auto" w:sz="4" w:space="0"/>
              <w:right w:val="single" w:color="auto" w:sz="4" w:space="0"/>
            </w:tcBorders>
            <w:vAlign w:val="center"/>
          </w:tcPr>
          <w:p w14:paraId="75260189">
            <w:pPr>
              <w:spacing w:line="320" w:lineRule="exact"/>
              <w:jc w:val="center"/>
              <w:rPr>
                <w:rFonts w:ascii="宋体" w:hAnsi="宋体"/>
                <w:sz w:val="24"/>
              </w:rPr>
            </w:pPr>
            <w:r>
              <w:rPr>
                <w:rFonts w:hint="eastAsia" w:ascii="宋体" w:hAnsi="宋体"/>
                <w:sz w:val="24"/>
              </w:rPr>
              <w:t>详见项目报价表</w:t>
            </w:r>
          </w:p>
        </w:tc>
        <w:tc>
          <w:tcPr>
            <w:tcW w:w="1249" w:type="dxa"/>
            <w:tcBorders>
              <w:top w:val="single" w:color="auto" w:sz="4" w:space="0"/>
              <w:left w:val="single" w:color="auto" w:sz="4" w:space="0"/>
              <w:bottom w:val="single" w:color="auto" w:sz="4" w:space="0"/>
              <w:right w:val="single" w:color="auto" w:sz="4" w:space="0"/>
            </w:tcBorders>
            <w:vAlign w:val="center"/>
          </w:tcPr>
          <w:p w14:paraId="39BCC9F9">
            <w:pPr>
              <w:spacing w:line="320" w:lineRule="exact"/>
              <w:jc w:val="center"/>
              <w:rPr>
                <w:rFonts w:ascii="宋体" w:hAnsi="宋体"/>
                <w:sz w:val="24"/>
              </w:rPr>
            </w:pPr>
            <w:r>
              <w:rPr>
                <w:rFonts w:hint="eastAsia" w:ascii="宋体" w:hAnsi="宋体"/>
                <w:sz w:val="24"/>
                <w:lang w:val="en-US" w:eastAsia="zh-CN"/>
              </w:rPr>
              <w:t>2026年10月15日之前</w:t>
            </w:r>
          </w:p>
        </w:tc>
        <w:tc>
          <w:tcPr>
            <w:tcW w:w="1939" w:type="dxa"/>
            <w:tcBorders>
              <w:top w:val="single" w:color="auto" w:sz="4" w:space="0"/>
              <w:left w:val="single" w:color="auto" w:sz="4" w:space="0"/>
              <w:bottom w:val="single" w:color="auto" w:sz="4" w:space="0"/>
              <w:right w:val="single" w:color="auto" w:sz="4" w:space="0"/>
            </w:tcBorders>
            <w:vAlign w:val="center"/>
          </w:tcPr>
          <w:p w14:paraId="796D97FC">
            <w:pPr>
              <w:spacing w:line="320" w:lineRule="exact"/>
              <w:jc w:val="center"/>
              <w:rPr>
                <w:rFonts w:ascii="宋体" w:hAnsi="宋体"/>
                <w:sz w:val="24"/>
              </w:rPr>
            </w:pPr>
            <w:r>
              <w:rPr>
                <w:rFonts w:hint="eastAsia" w:ascii="宋体" w:hAnsi="宋体"/>
                <w:sz w:val="24"/>
                <w:lang w:val="en-US" w:eastAsia="zh-CN"/>
              </w:rPr>
              <w:t>420200</w:t>
            </w:r>
            <w:r>
              <w:rPr>
                <w:rFonts w:hint="eastAsia" w:ascii="宋体" w:hAnsi="宋体"/>
                <w:sz w:val="24"/>
              </w:rPr>
              <w:t>元</w:t>
            </w:r>
          </w:p>
        </w:tc>
      </w:tr>
    </w:tbl>
    <w:p w14:paraId="68ED3D04">
      <w:pPr>
        <w:spacing w:line="320" w:lineRule="exact"/>
        <w:rPr>
          <w:rFonts w:ascii="宋体" w:hAnsi="宋体"/>
          <w:b/>
          <w:sz w:val="24"/>
        </w:rPr>
      </w:pPr>
    </w:p>
    <w:p w14:paraId="67025D2C">
      <w:pPr>
        <w:spacing w:line="320" w:lineRule="exact"/>
        <w:ind w:left="-566" w:leftChars="-202" w:firstLine="477" w:firstLineChars="198"/>
        <w:rPr>
          <w:rFonts w:ascii="宋体" w:hAnsi="宋体"/>
          <w:b/>
          <w:sz w:val="24"/>
        </w:rPr>
      </w:pPr>
      <w:r>
        <w:rPr>
          <w:rFonts w:hint="eastAsia" w:ascii="宋体" w:hAnsi="宋体"/>
          <w:b/>
          <w:sz w:val="24"/>
        </w:rPr>
        <w:t>注：项目报价表详见附件2。</w:t>
      </w:r>
    </w:p>
    <w:p w14:paraId="69B4B91B">
      <w:pPr>
        <w:keepLines/>
        <w:pageBreakBefore/>
        <w:spacing w:before="240" w:line="320" w:lineRule="exact"/>
        <w:jc w:val="center"/>
        <w:outlineLvl w:val="1"/>
        <w:rPr>
          <w:rFonts w:ascii="宋体" w:hAnsi="宋体"/>
          <w:b/>
          <w:szCs w:val="28"/>
        </w:rPr>
      </w:pPr>
      <w:r>
        <w:rPr>
          <w:rFonts w:hint="eastAsia" w:ascii="宋体" w:hAnsi="宋体"/>
          <w:b/>
          <w:szCs w:val="28"/>
        </w:rPr>
        <w:t>三、采购项目须知</w:t>
      </w:r>
    </w:p>
    <w:p w14:paraId="23D470A3">
      <w:pPr>
        <w:spacing w:line="320" w:lineRule="exact"/>
        <w:ind w:left="-566" w:leftChars="-202" w:firstLine="236" w:firstLineChars="98"/>
        <w:rPr>
          <w:rFonts w:ascii="宋体" w:hAnsi="宋体"/>
          <w:b/>
          <w:sz w:val="24"/>
        </w:rPr>
      </w:pPr>
    </w:p>
    <w:p w14:paraId="42AF732B">
      <w:pPr>
        <w:spacing w:line="360" w:lineRule="auto"/>
        <w:rPr>
          <w:rFonts w:ascii="宋体" w:hAnsi="宋体"/>
          <w:b/>
          <w:sz w:val="24"/>
        </w:rPr>
      </w:pPr>
      <w:r>
        <w:rPr>
          <w:rFonts w:hint="eastAsia" w:ascii="宋体" w:hAnsi="宋体"/>
          <w:b/>
          <w:sz w:val="24"/>
        </w:rPr>
        <w:t>一、项目要求</w:t>
      </w:r>
    </w:p>
    <w:p w14:paraId="7D83F651">
      <w:pPr>
        <w:spacing w:line="360" w:lineRule="auto"/>
        <w:ind w:firstLine="480" w:firstLineChars="200"/>
        <w:rPr>
          <w:rFonts w:ascii="宋体" w:hAnsi="宋体"/>
          <w:b/>
          <w:sz w:val="24"/>
        </w:rPr>
      </w:pPr>
      <w:r>
        <w:rPr>
          <w:rFonts w:hint="eastAsia" w:ascii="宋体" w:hAnsi="宋体"/>
          <w:sz w:val="24"/>
        </w:rPr>
        <w:t>1、本项目为整体采购,采购响应供应商应按报价一览表中的所有内容进行完整的采购响应报价，</w:t>
      </w:r>
      <w:r>
        <w:rPr>
          <w:rFonts w:hint="eastAsia" w:ascii="宋体" w:hAnsi="宋体"/>
          <w:b/>
          <w:sz w:val="24"/>
        </w:rPr>
        <w:t>本项目第一次报价即最终报价，不接受二次报价</w:t>
      </w:r>
      <w:r>
        <w:rPr>
          <w:rFonts w:hint="eastAsia" w:ascii="宋体" w:hAnsi="宋体"/>
          <w:sz w:val="24"/>
        </w:rPr>
        <w:t>。</w:t>
      </w:r>
    </w:p>
    <w:p w14:paraId="2C704435">
      <w:pPr>
        <w:widowControl/>
        <w:spacing w:line="360" w:lineRule="auto"/>
        <w:ind w:firstLine="480" w:firstLineChars="200"/>
        <w:jc w:val="left"/>
        <w:rPr>
          <w:rFonts w:ascii="宋体" w:hAnsi="宋体"/>
          <w:sz w:val="24"/>
        </w:rPr>
      </w:pPr>
      <w:r>
        <w:rPr>
          <w:rFonts w:hint="eastAsia" w:ascii="宋体" w:hAnsi="宋体"/>
          <w:sz w:val="24"/>
        </w:rPr>
        <w:t>2、交付期：2026年</w:t>
      </w:r>
      <w:r>
        <w:rPr>
          <w:rFonts w:hint="eastAsia" w:ascii="宋体" w:hAnsi="宋体"/>
          <w:sz w:val="24"/>
          <w:lang w:val="en-US" w:eastAsia="zh-CN"/>
        </w:rPr>
        <w:t>10</w:t>
      </w:r>
      <w:r>
        <w:rPr>
          <w:rFonts w:hint="eastAsia" w:ascii="宋体" w:hAnsi="宋体"/>
          <w:sz w:val="24"/>
        </w:rPr>
        <w:t>月15日之前通过验收交付使用。</w:t>
      </w:r>
    </w:p>
    <w:p w14:paraId="499E7D39">
      <w:pPr>
        <w:widowControl/>
        <w:spacing w:line="360" w:lineRule="auto"/>
        <w:ind w:firstLine="480" w:firstLineChars="200"/>
        <w:jc w:val="left"/>
        <w:rPr>
          <w:rFonts w:ascii="宋体" w:hAnsi="宋体"/>
          <w:sz w:val="24"/>
        </w:rPr>
      </w:pPr>
      <w:r>
        <w:rPr>
          <w:rFonts w:hint="eastAsia" w:ascii="宋体" w:hAnsi="宋体"/>
          <w:sz w:val="24"/>
        </w:rPr>
        <w:t>3、交货地点：厦门技师学院范围内采购人指定地点。</w:t>
      </w:r>
    </w:p>
    <w:p w14:paraId="262F285E">
      <w:pPr>
        <w:spacing w:line="360" w:lineRule="auto"/>
        <w:rPr>
          <w:rFonts w:ascii="宋体" w:hAnsi="宋体"/>
          <w:b/>
          <w:sz w:val="24"/>
        </w:rPr>
      </w:pPr>
      <w:r>
        <w:rPr>
          <w:rFonts w:hint="eastAsia" w:ascii="宋体" w:hAnsi="宋体"/>
          <w:b/>
          <w:sz w:val="24"/>
        </w:rPr>
        <w:t>采购响应文件要求，须提供材料：</w:t>
      </w:r>
    </w:p>
    <w:p w14:paraId="10A602F8">
      <w:pPr>
        <w:spacing w:line="360" w:lineRule="auto"/>
        <w:ind w:firstLine="480" w:firstLineChars="200"/>
        <w:rPr>
          <w:rFonts w:ascii="宋体" w:hAnsi="宋体"/>
          <w:sz w:val="24"/>
        </w:rPr>
      </w:pPr>
      <w:r>
        <w:rPr>
          <w:rFonts w:hint="eastAsia" w:ascii="宋体" w:hAnsi="宋体"/>
          <w:sz w:val="24"/>
        </w:rPr>
        <w:t>1、采购响应供应商应在中华人民共和国合法注册，具有独立承担民事责任的能力，具有实施与该项目相关的资质能力，必须提供法人营业执照有效复印件并加盖公章。（营业执照无法体现营业范围的则应提供相关证明材料）。</w:t>
      </w:r>
    </w:p>
    <w:p w14:paraId="04DFD5AC">
      <w:pPr>
        <w:spacing w:line="360" w:lineRule="auto"/>
        <w:ind w:firstLine="480" w:firstLineChars="200"/>
        <w:rPr>
          <w:rFonts w:ascii="宋体" w:hAnsi="宋体"/>
          <w:sz w:val="24"/>
        </w:rPr>
      </w:pPr>
      <w:r>
        <w:rPr>
          <w:rFonts w:hint="eastAsia" w:ascii="宋体" w:hAnsi="宋体"/>
          <w:sz w:val="24"/>
        </w:rPr>
        <w:t>2、采购响应供应商是企业法定代表人的，应提供身份证有效复印件并加盖公章，若不是企业法定代表人，还应提供企业法定代表人的身份证有效复印件、授权书原件、授权代表的身份证有效复印件并加盖公章。</w:t>
      </w:r>
    </w:p>
    <w:p w14:paraId="539F04DB">
      <w:pPr>
        <w:spacing w:line="360" w:lineRule="auto"/>
        <w:ind w:firstLine="480" w:firstLineChars="200"/>
        <w:rPr>
          <w:rFonts w:ascii="宋体" w:hAnsi="宋体"/>
          <w:sz w:val="24"/>
        </w:rPr>
      </w:pPr>
      <w:r>
        <w:rPr>
          <w:rFonts w:hint="eastAsia" w:ascii="宋体" w:hAnsi="宋体"/>
          <w:sz w:val="24"/>
        </w:rPr>
        <w:t>3、</w:t>
      </w:r>
      <w:r>
        <w:rPr>
          <w:rFonts w:hint="eastAsia" w:ascii="宋体" w:hAnsi="宋体"/>
          <w:sz w:val="24"/>
          <w:lang w:eastAsia="zh-CN"/>
        </w:rPr>
        <w:t>厦门技师学院新能源汽车采购</w:t>
      </w:r>
      <w:r>
        <w:rPr>
          <w:rFonts w:hint="eastAsia" w:ascii="宋体" w:hAnsi="宋体"/>
          <w:sz w:val="24"/>
        </w:rPr>
        <w:t>项目报价表并加盖公章。</w:t>
      </w:r>
    </w:p>
    <w:p w14:paraId="294CC97D">
      <w:pPr>
        <w:spacing w:line="360" w:lineRule="auto"/>
        <w:ind w:firstLine="480" w:firstLineChars="200"/>
        <w:rPr>
          <w:rFonts w:ascii="宋体" w:hAnsi="宋体" w:cs="Arial"/>
          <w:sz w:val="24"/>
        </w:rPr>
      </w:pPr>
      <w:r>
        <w:rPr>
          <w:rFonts w:hint="eastAsia" w:ascii="宋体" w:hAnsi="宋体"/>
          <w:sz w:val="24"/>
        </w:rPr>
        <w:t>4、</w:t>
      </w:r>
      <w:r>
        <w:rPr>
          <w:rFonts w:hint="eastAsia" w:ascii="宋体" w:hAnsi="宋体" w:cs="Arial"/>
          <w:sz w:val="24"/>
        </w:rPr>
        <w:t>成交供应商在施工及服务过程中若有出现安全事故，其责任及相应的赔偿均由成交供应商自行承担，采购人不承担所有责任及义务。</w:t>
      </w:r>
      <w:r>
        <w:rPr>
          <w:rFonts w:hint="eastAsia" w:ascii="宋体" w:hAnsi="宋体" w:cs="Arial"/>
          <w:b/>
          <w:sz w:val="24"/>
        </w:rPr>
        <w:t>须提供承诺书。</w:t>
      </w:r>
    </w:p>
    <w:p w14:paraId="6239B6B6">
      <w:pPr>
        <w:spacing w:line="360" w:lineRule="auto"/>
        <w:ind w:firstLine="480" w:firstLineChars="200"/>
        <w:rPr>
          <w:rFonts w:hint="eastAsia" w:ascii="宋体" w:hAnsi="宋体"/>
          <w:b/>
          <w:sz w:val="24"/>
        </w:rPr>
      </w:pPr>
      <w:r>
        <w:rPr>
          <w:rFonts w:hint="eastAsia" w:ascii="宋体" w:hAnsi="宋体"/>
          <w:sz w:val="24"/>
        </w:rPr>
        <w:t>5、</w:t>
      </w:r>
      <w:r>
        <w:rPr>
          <w:rFonts w:hint="eastAsia" w:ascii="宋体" w:hAnsi="宋体" w:cs="Arial"/>
          <w:sz w:val="24"/>
        </w:rPr>
        <w:t>参加政府采购活动前3年内（开业不足三年的，自开业以来）在经营活动中没有违法记录、无行贿犯罪记录（或者在参加政府采购活动前3年内因违法经营被禁止在一定期限内参加政府采购活动，期限已届满）。</w:t>
      </w:r>
      <w:r>
        <w:rPr>
          <w:rFonts w:hint="eastAsia" w:ascii="宋体" w:hAnsi="宋体" w:cs="Arial"/>
          <w:b/>
          <w:sz w:val="24"/>
        </w:rPr>
        <w:t>须提供</w:t>
      </w:r>
      <w:r>
        <w:rPr>
          <w:rFonts w:hint="eastAsia" w:ascii="宋体" w:hAnsi="宋体"/>
          <w:b/>
          <w:sz w:val="24"/>
        </w:rPr>
        <w:t>书面声明或承诺书。</w:t>
      </w:r>
    </w:p>
    <w:p w14:paraId="0A9D6B3C">
      <w:pPr>
        <w:spacing w:line="360" w:lineRule="auto"/>
        <w:ind w:firstLine="480" w:firstLineChars="200"/>
        <w:rPr>
          <w:rFonts w:hint="eastAsia" w:ascii="宋体" w:hAnsi="宋体"/>
          <w:sz w:val="24"/>
          <w:lang w:val="en-US" w:eastAsia="zh-CN"/>
        </w:rPr>
      </w:pPr>
      <w:r>
        <w:rPr>
          <w:rFonts w:hint="eastAsia" w:ascii="宋体" w:hAnsi="宋体"/>
          <w:sz w:val="24"/>
          <w:lang w:val="en-US" w:eastAsia="zh-CN"/>
        </w:rPr>
        <w:t>6、授权资质：所投品牌原厂正式授权经销商（提供有效期内授权书）；不接受二级/多级转授权。</w:t>
      </w:r>
    </w:p>
    <w:p w14:paraId="74A1E86D">
      <w:pPr>
        <w:spacing w:line="360" w:lineRule="auto"/>
        <w:ind w:firstLine="480" w:firstLineChars="200"/>
        <w:rPr>
          <w:rFonts w:hint="default"/>
          <w:lang w:val="en-US" w:eastAsia="zh-CN"/>
        </w:rPr>
      </w:pPr>
      <w:r>
        <w:rPr>
          <w:rFonts w:hint="eastAsia" w:ascii="宋体" w:hAnsi="宋体"/>
          <w:sz w:val="24"/>
          <w:lang w:val="en-US" w:eastAsia="zh-CN"/>
        </w:rPr>
        <w:t>7、全新原厂商品车、行驶公里数不得高于50公里、未经任何个人或单位注册登记、无任何维修及事故记录、附带完整的原厂保修服务、车辆应通过品牌授权经销商销售，并随车交付全套全新车辆文件，包括但不限于机动车销售统一发票、车辆合格证（或货物进口证明书）、三包凭证等。</w:t>
      </w:r>
      <w:r>
        <w:rPr>
          <w:rFonts w:hint="eastAsia" w:ascii="宋体" w:hAnsi="宋体"/>
          <w:b/>
          <w:bCs/>
          <w:sz w:val="24"/>
          <w:lang w:val="en-US" w:eastAsia="zh-CN"/>
        </w:rPr>
        <w:t>须提供承诺书。</w:t>
      </w:r>
    </w:p>
    <w:p w14:paraId="15BAA83F">
      <w:pPr>
        <w:spacing w:line="360" w:lineRule="auto"/>
        <w:rPr>
          <w:rFonts w:ascii="宋体" w:hAnsi="宋体"/>
          <w:b/>
          <w:sz w:val="24"/>
        </w:rPr>
      </w:pPr>
      <w:r>
        <w:rPr>
          <w:rFonts w:hint="eastAsia" w:ascii="宋体" w:hAnsi="宋体" w:cs="Arial"/>
          <w:b/>
          <w:sz w:val="24"/>
        </w:rPr>
        <w:t>备注：</w:t>
      </w:r>
      <w:r>
        <w:rPr>
          <w:rFonts w:hint="eastAsia" w:ascii="宋体" w:hAnsi="宋体"/>
          <w:b/>
          <w:sz w:val="24"/>
        </w:rPr>
        <w:t>采购响应供应商不满足上述规定的基本资格条件或提供资格证明文件不全的，将视为未完全响应。原件备查。</w:t>
      </w:r>
    </w:p>
    <w:p w14:paraId="2B6EA09A">
      <w:pPr>
        <w:spacing w:line="360" w:lineRule="auto"/>
        <w:rPr>
          <w:rFonts w:ascii="宋体" w:hAnsi="宋体"/>
          <w:b/>
          <w:sz w:val="24"/>
        </w:rPr>
      </w:pPr>
      <w:r>
        <w:rPr>
          <w:rFonts w:hint="eastAsia" w:ascii="宋体" w:hAnsi="宋体"/>
          <w:b/>
          <w:sz w:val="24"/>
        </w:rPr>
        <w:t>其他要求：</w:t>
      </w:r>
    </w:p>
    <w:p w14:paraId="51AE520C">
      <w:pPr>
        <w:spacing w:line="360" w:lineRule="auto"/>
        <w:ind w:firstLine="480" w:firstLineChars="200"/>
        <w:rPr>
          <w:rFonts w:ascii="宋体" w:hAnsi="宋体"/>
          <w:sz w:val="24"/>
        </w:rPr>
      </w:pPr>
      <w:r>
        <w:rPr>
          <w:rFonts w:hint="eastAsia" w:ascii="宋体" w:hAnsi="宋体"/>
          <w:sz w:val="24"/>
        </w:rPr>
        <w:t>1、本项目不接受联合体报价。</w:t>
      </w:r>
    </w:p>
    <w:p w14:paraId="76915E84">
      <w:pPr>
        <w:spacing w:line="360" w:lineRule="auto"/>
        <w:ind w:firstLine="480" w:firstLineChars="200"/>
        <w:rPr>
          <w:rFonts w:ascii="宋体" w:hAnsi="宋体" w:cs="Arial"/>
          <w:sz w:val="24"/>
        </w:rPr>
      </w:pPr>
      <w:r>
        <w:rPr>
          <w:rFonts w:hint="eastAsia" w:ascii="宋体" w:hAnsi="宋体"/>
          <w:sz w:val="24"/>
        </w:rPr>
        <w:t>2、采购响应文件应密封、加盖采购响应</w:t>
      </w:r>
      <w:r>
        <w:rPr>
          <w:rFonts w:hint="eastAsia" w:ascii="宋体" w:hAnsi="宋体" w:cs="Arial"/>
          <w:sz w:val="24"/>
        </w:rPr>
        <w:t>供应商公章，并在密封面注明采购项目名称。未按要求提供或资料提供不齐全视为未完全响应。</w:t>
      </w:r>
    </w:p>
    <w:p w14:paraId="192188FA">
      <w:pPr>
        <w:spacing w:line="360" w:lineRule="auto"/>
        <w:rPr>
          <w:rFonts w:ascii="宋体" w:hAnsi="宋体"/>
          <w:b/>
          <w:sz w:val="24"/>
        </w:rPr>
      </w:pPr>
      <w:r>
        <w:rPr>
          <w:rFonts w:hint="eastAsia" w:ascii="宋体" w:hAnsi="宋体"/>
          <w:b/>
          <w:sz w:val="24"/>
        </w:rPr>
        <w:t>二、报价要求</w:t>
      </w:r>
    </w:p>
    <w:p w14:paraId="5B6550F0">
      <w:pPr>
        <w:spacing w:line="360" w:lineRule="auto"/>
        <w:ind w:firstLine="480" w:firstLineChars="200"/>
        <w:rPr>
          <w:rFonts w:ascii="宋体" w:hAnsi="宋体"/>
          <w:sz w:val="24"/>
        </w:rPr>
      </w:pPr>
      <w:r>
        <w:rPr>
          <w:rFonts w:hint="eastAsia" w:ascii="宋体" w:hAnsi="宋体"/>
          <w:sz w:val="24"/>
        </w:rPr>
        <w:t>1、本项目须列出各细项目单价及总价；采购响应供应商应充分考虑服务期间各生产材料价格上涨及市场销售价格上涨的风险，且该项风险费在报价中充分考虑。单价采用固定综合单价，包括但不限于以下费用：人工费、保险费、行政规费与税费、管理费、风险费、检测费、验收费及技术指导、成交服务费、售后服务费等一切费用。</w:t>
      </w:r>
    </w:p>
    <w:p w14:paraId="00B31622">
      <w:pPr>
        <w:spacing w:line="360" w:lineRule="auto"/>
        <w:ind w:firstLine="480" w:firstLineChars="200"/>
        <w:rPr>
          <w:rFonts w:ascii="宋体" w:hAnsi="宋体" w:cs="Arial"/>
          <w:sz w:val="24"/>
        </w:rPr>
      </w:pPr>
      <w:r>
        <w:rPr>
          <w:rFonts w:hint="eastAsia" w:ascii="宋体" w:hAnsi="宋体"/>
          <w:bCs/>
          <w:sz w:val="24"/>
        </w:rPr>
        <w:t>2、</w:t>
      </w:r>
      <w:r>
        <w:rPr>
          <w:rFonts w:hint="eastAsia" w:ascii="宋体" w:hAnsi="宋体" w:cs="Arial"/>
          <w:sz w:val="24"/>
        </w:rPr>
        <w:t>报价以人民币为货币单位，超过控制价视为无效报价。</w:t>
      </w:r>
    </w:p>
    <w:p w14:paraId="625E8D06">
      <w:pPr>
        <w:spacing w:line="360" w:lineRule="auto"/>
        <w:ind w:firstLine="480" w:firstLineChars="200"/>
        <w:rPr>
          <w:rFonts w:ascii="宋体" w:hAnsi="宋体" w:cs="Arial"/>
          <w:sz w:val="24"/>
        </w:rPr>
      </w:pPr>
      <w:r>
        <w:rPr>
          <w:rFonts w:hint="eastAsia" w:ascii="宋体" w:hAnsi="宋体" w:cs="Arial"/>
          <w:sz w:val="24"/>
        </w:rPr>
        <w:t>3、</w:t>
      </w:r>
      <w:r>
        <w:rPr>
          <w:rFonts w:hint="eastAsia" w:ascii="宋体" w:hAnsi="宋体"/>
          <w:sz w:val="24"/>
        </w:rPr>
        <w:t>采购响应</w:t>
      </w:r>
      <w:r>
        <w:rPr>
          <w:rFonts w:hint="eastAsia" w:ascii="宋体" w:hAnsi="宋体" w:cs="Arial"/>
          <w:sz w:val="24"/>
        </w:rPr>
        <w:t>供应商单价报价中漏报、少报的费用，视为此项费用已隐含在</w:t>
      </w:r>
      <w:r>
        <w:rPr>
          <w:rFonts w:hint="eastAsia" w:ascii="宋体" w:hAnsi="宋体"/>
          <w:sz w:val="24"/>
        </w:rPr>
        <w:t>采购响应</w:t>
      </w:r>
      <w:r>
        <w:rPr>
          <w:rFonts w:hint="eastAsia" w:ascii="宋体" w:hAnsi="宋体" w:cs="Arial"/>
          <w:sz w:val="24"/>
        </w:rPr>
        <w:t>报价中，成交后不得再向采购人收取任何费用。</w:t>
      </w:r>
    </w:p>
    <w:p w14:paraId="2C0E538E">
      <w:pPr>
        <w:spacing w:line="360" w:lineRule="auto"/>
        <w:jc w:val="left"/>
        <w:rPr>
          <w:rFonts w:ascii="宋体" w:hAnsi="宋体"/>
          <w:b/>
          <w:sz w:val="24"/>
        </w:rPr>
      </w:pPr>
      <w:r>
        <w:rPr>
          <w:rFonts w:hint="eastAsia" w:ascii="宋体" w:hAnsi="宋体"/>
          <w:b/>
          <w:sz w:val="24"/>
        </w:rPr>
        <w:t>三、评审规则、标准</w:t>
      </w:r>
    </w:p>
    <w:p w14:paraId="524B7967">
      <w:pPr>
        <w:spacing w:line="360" w:lineRule="auto"/>
        <w:jc w:val="left"/>
        <w:rPr>
          <w:rFonts w:ascii="宋体" w:hAnsi="宋体"/>
          <w:b/>
          <w:sz w:val="24"/>
        </w:rPr>
      </w:pPr>
      <w:r>
        <w:rPr>
          <w:rFonts w:hint="eastAsia" w:ascii="宋体" w:hAnsi="宋体"/>
          <w:b/>
          <w:sz w:val="24"/>
        </w:rPr>
        <w:t>（一）评审规则</w:t>
      </w:r>
    </w:p>
    <w:p w14:paraId="6599E72D">
      <w:pPr>
        <w:spacing w:line="360" w:lineRule="auto"/>
        <w:ind w:firstLine="480" w:firstLineChars="200"/>
        <w:jc w:val="left"/>
        <w:rPr>
          <w:rFonts w:ascii="宋体" w:hAnsi="宋体"/>
          <w:bCs/>
          <w:sz w:val="24"/>
        </w:rPr>
      </w:pPr>
      <w:r>
        <w:rPr>
          <w:rFonts w:hint="eastAsia" w:ascii="宋体" w:hAnsi="宋体"/>
          <w:bCs/>
          <w:sz w:val="24"/>
        </w:rPr>
        <w:t>1、采购方需要向报名的每个供应商提供采购文件，使之在平等的条件下参加评审。并在规定的时间内接受每个供应商的响应文件。</w:t>
      </w:r>
    </w:p>
    <w:p w14:paraId="0C7CABFC">
      <w:pPr>
        <w:spacing w:line="360" w:lineRule="auto"/>
        <w:ind w:firstLine="480" w:firstLineChars="200"/>
        <w:jc w:val="left"/>
        <w:rPr>
          <w:rFonts w:ascii="宋体" w:hAnsi="宋体"/>
          <w:bCs/>
          <w:sz w:val="24"/>
        </w:rPr>
      </w:pPr>
      <w:r>
        <w:rPr>
          <w:rFonts w:hint="eastAsia" w:ascii="宋体" w:hAnsi="宋体"/>
          <w:bCs/>
          <w:sz w:val="24"/>
        </w:rPr>
        <w:t>2、采购方组建评审小组，评审小组对递交的响应文件的供应商进行初步审查（即资格及符合性审查），已确定其是否有具备参与评审的资格。</w:t>
      </w:r>
    </w:p>
    <w:p w14:paraId="2AD667A0">
      <w:pPr>
        <w:spacing w:line="360" w:lineRule="auto"/>
        <w:ind w:firstLine="480" w:firstLineChars="200"/>
        <w:jc w:val="left"/>
        <w:rPr>
          <w:rFonts w:ascii="宋体" w:hAnsi="宋体"/>
          <w:bCs/>
          <w:sz w:val="24"/>
        </w:rPr>
      </w:pPr>
      <w:r>
        <w:rPr>
          <w:rFonts w:hint="eastAsia" w:ascii="宋体" w:hAnsi="宋体"/>
          <w:bCs/>
          <w:sz w:val="24"/>
        </w:rPr>
        <w:t>3、首次采购须满足符合资格性、符合性审查要求的响应供应商不少于三家，少于三家的，本次采购工作废止，并重新组织采购。</w:t>
      </w:r>
      <w:r>
        <w:rPr>
          <w:rFonts w:hint="eastAsia" w:ascii="宋体" w:hAnsi="宋体"/>
          <w:bCs/>
          <w:sz w:val="24"/>
          <w:lang w:val="en-US" w:eastAsia="zh-CN"/>
        </w:rPr>
        <w:t>二次采购时，</w:t>
      </w:r>
      <w:r>
        <w:rPr>
          <w:rFonts w:hint="eastAsia" w:ascii="宋体" w:hAnsi="宋体"/>
          <w:bCs/>
          <w:sz w:val="24"/>
        </w:rPr>
        <w:t>符合资格性、符合性审查要求的响应供应商少于三家，可按照评审标准组织评审并确定成交供应商。</w:t>
      </w:r>
    </w:p>
    <w:p w14:paraId="516ACEE0">
      <w:pPr>
        <w:spacing w:line="360" w:lineRule="auto"/>
        <w:ind w:firstLine="480" w:firstLineChars="200"/>
        <w:jc w:val="left"/>
        <w:rPr>
          <w:rFonts w:ascii="宋体" w:hAnsi="宋体"/>
          <w:bCs/>
          <w:sz w:val="24"/>
        </w:rPr>
      </w:pPr>
      <w:r>
        <w:rPr>
          <w:rFonts w:hint="eastAsia" w:ascii="宋体" w:hAnsi="宋体"/>
          <w:bCs/>
          <w:sz w:val="24"/>
        </w:rPr>
        <w:t>4、评审小组完成资格性、符合性审查之后，方可开启最后报价。</w:t>
      </w:r>
    </w:p>
    <w:p w14:paraId="1ED2628A">
      <w:pPr>
        <w:spacing w:line="360" w:lineRule="auto"/>
        <w:ind w:firstLine="480" w:firstLineChars="200"/>
        <w:jc w:val="left"/>
        <w:rPr>
          <w:rFonts w:ascii="宋体" w:hAnsi="宋体"/>
          <w:bCs/>
          <w:sz w:val="24"/>
        </w:rPr>
      </w:pPr>
      <w:r>
        <w:rPr>
          <w:rFonts w:hint="eastAsia" w:ascii="宋体" w:hAnsi="宋体"/>
          <w:bCs/>
          <w:sz w:val="24"/>
        </w:rPr>
        <w:t>5、在评审结果出来之前，采购方和供应商要严格遵循保密的原则，任何一方不得向其他供应商透露与响应文件有关的信息。</w:t>
      </w:r>
    </w:p>
    <w:p w14:paraId="77B41276">
      <w:pPr>
        <w:spacing w:line="360" w:lineRule="auto"/>
        <w:ind w:firstLine="480" w:firstLineChars="200"/>
        <w:jc w:val="left"/>
      </w:pPr>
      <w:r>
        <w:rPr>
          <w:rFonts w:hint="eastAsia" w:ascii="宋体" w:hAnsi="宋体"/>
          <w:bCs/>
          <w:sz w:val="24"/>
        </w:rPr>
        <w:t>6、供应商应对其响应文件中提供各种资料、说明的真实性负责。在评审过程中，如有发现供应商有为谋取成交而提供虚假资料欺骗采购人和评委的行为，将取消其成交资格，并按相关规定处罚。</w:t>
      </w:r>
    </w:p>
    <w:p w14:paraId="6E174B22">
      <w:pPr>
        <w:spacing w:line="360" w:lineRule="auto"/>
        <w:jc w:val="left"/>
        <w:rPr>
          <w:rFonts w:ascii="宋体" w:hAnsi="宋体"/>
          <w:b/>
          <w:sz w:val="24"/>
        </w:rPr>
      </w:pPr>
      <w:r>
        <w:rPr>
          <w:rFonts w:hint="eastAsia" w:ascii="宋体" w:hAnsi="宋体"/>
          <w:b/>
          <w:sz w:val="24"/>
        </w:rPr>
        <w:t>（二）评审标准</w:t>
      </w:r>
    </w:p>
    <w:p w14:paraId="26DB1945">
      <w:pPr>
        <w:spacing w:line="360" w:lineRule="auto"/>
        <w:ind w:firstLine="480"/>
        <w:jc w:val="left"/>
        <w:rPr>
          <w:rFonts w:ascii="宋体" w:hAnsi="宋体"/>
          <w:bCs/>
          <w:sz w:val="24"/>
        </w:rPr>
      </w:pPr>
      <w:r>
        <w:rPr>
          <w:rFonts w:hint="eastAsia" w:ascii="宋体" w:hAnsi="宋体"/>
          <w:bCs/>
          <w:sz w:val="24"/>
        </w:rPr>
        <w:t>1、由评审小组根据采购文件要求审核采购响应文件是否合格、有效，凡不符合资格性、符合性要求或未实质性响应采购文件的要求的均视为无效文件。</w:t>
      </w:r>
    </w:p>
    <w:p w14:paraId="4A568FFE">
      <w:pPr>
        <w:spacing w:line="360" w:lineRule="auto"/>
        <w:ind w:firstLine="480"/>
        <w:jc w:val="left"/>
        <w:rPr>
          <w:rFonts w:ascii="宋体" w:hAnsi="宋体"/>
          <w:bCs/>
          <w:sz w:val="24"/>
        </w:rPr>
      </w:pPr>
      <w:r>
        <w:rPr>
          <w:rFonts w:hint="eastAsia" w:ascii="宋体" w:hAnsi="宋体"/>
          <w:bCs/>
          <w:sz w:val="24"/>
        </w:rPr>
        <w:t>2、评审小组对通过资格性、符合性审查的供应商的最后报价进行审查，质量和服务均能满足实质性要求的前提下，报价最低的原则确定最终的供应商。</w:t>
      </w:r>
    </w:p>
    <w:p w14:paraId="1F0DD483">
      <w:pPr>
        <w:spacing w:line="360" w:lineRule="auto"/>
        <w:ind w:firstLine="480"/>
        <w:jc w:val="left"/>
        <w:rPr>
          <w:rFonts w:ascii="宋体" w:hAnsi="宋体"/>
          <w:bCs/>
          <w:sz w:val="24"/>
        </w:rPr>
      </w:pPr>
      <w:r>
        <w:rPr>
          <w:rFonts w:hint="eastAsia" w:ascii="宋体" w:hAnsi="宋体"/>
          <w:bCs/>
          <w:sz w:val="24"/>
        </w:rPr>
        <w:t>3、本单位不承诺最低投标价的供应商为成交供应商；对供应商本单位没有义务做出任何解释。</w:t>
      </w:r>
    </w:p>
    <w:p w14:paraId="59603703">
      <w:pPr>
        <w:spacing w:line="360" w:lineRule="auto"/>
        <w:jc w:val="left"/>
        <w:rPr>
          <w:rFonts w:ascii="宋体" w:hAnsi="宋体"/>
          <w:b/>
          <w:sz w:val="24"/>
        </w:rPr>
      </w:pPr>
      <w:r>
        <w:rPr>
          <w:rFonts w:hint="eastAsia" w:ascii="宋体" w:hAnsi="宋体"/>
          <w:b/>
          <w:sz w:val="24"/>
        </w:rPr>
        <w:t>四、验收标准</w:t>
      </w:r>
    </w:p>
    <w:p w14:paraId="4838FAB7">
      <w:pPr>
        <w:tabs>
          <w:tab w:val="left" w:pos="8640"/>
        </w:tabs>
        <w:spacing w:line="360" w:lineRule="auto"/>
        <w:ind w:right="-42" w:rightChars="-15" w:firstLine="600" w:firstLineChars="250"/>
        <w:jc w:val="left"/>
        <w:rPr>
          <w:rFonts w:ascii="宋体" w:hAnsi="宋体" w:cs="Arial"/>
          <w:sz w:val="24"/>
        </w:rPr>
      </w:pPr>
      <w:bookmarkStart w:id="8" w:name="_Toc361840722"/>
      <w:bookmarkStart w:id="9" w:name="_Toc363578334"/>
      <w:bookmarkStart w:id="10" w:name="_Toc415216386"/>
      <w:bookmarkStart w:id="11" w:name="_Toc415216389"/>
      <w:bookmarkStart w:id="12" w:name="_Toc361840725"/>
      <w:bookmarkStart w:id="13" w:name="_Toc363578335"/>
      <w:r>
        <w:rPr>
          <w:rFonts w:hint="eastAsia" w:ascii="宋体" w:hAnsi="宋体" w:cs="Arial"/>
          <w:sz w:val="24"/>
        </w:rPr>
        <w:t>1、采购人根据采购文件、</w:t>
      </w:r>
      <w:r>
        <w:rPr>
          <w:rFonts w:hint="eastAsia" w:ascii="宋体" w:hAnsi="宋体"/>
          <w:sz w:val="24"/>
        </w:rPr>
        <w:t>采购响应</w:t>
      </w:r>
      <w:r>
        <w:rPr>
          <w:rFonts w:hint="eastAsia" w:ascii="宋体" w:hAnsi="宋体" w:cs="Arial"/>
          <w:sz w:val="24"/>
        </w:rPr>
        <w:t>文件、供货合同，服务要求以及国家有关的质量规范、标准规定进行服务验收。</w:t>
      </w:r>
      <w:r>
        <w:rPr>
          <w:rFonts w:hint="eastAsia" w:ascii="宋体" w:hAnsi="宋体"/>
          <w:bCs/>
          <w:sz w:val="24"/>
        </w:rPr>
        <w:t>本</w:t>
      </w:r>
      <w:r>
        <w:rPr>
          <w:rFonts w:hint="eastAsia" w:ascii="宋体" w:hAnsi="宋体" w:cs="Arial"/>
          <w:sz w:val="24"/>
        </w:rPr>
        <w:t>采购文件、</w:t>
      </w:r>
      <w:r>
        <w:rPr>
          <w:rFonts w:hint="eastAsia" w:ascii="宋体" w:hAnsi="宋体"/>
          <w:sz w:val="24"/>
        </w:rPr>
        <w:t>采购响应</w:t>
      </w:r>
      <w:r>
        <w:rPr>
          <w:rFonts w:hint="eastAsia" w:ascii="宋体" w:hAnsi="宋体" w:cs="Arial"/>
          <w:sz w:val="24"/>
        </w:rPr>
        <w:t>文件、合同、服务要求及国家有关的质量规范、标准规定，均为本采购项目的验收依据。</w:t>
      </w:r>
    </w:p>
    <w:p w14:paraId="4E678647">
      <w:pPr>
        <w:spacing w:line="360" w:lineRule="auto"/>
        <w:ind w:firstLine="480" w:firstLineChars="200"/>
        <w:jc w:val="left"/>
        <w:rPr>
          <w:rFonts w:ascii="宋体" w:hAnsi="宋体" w:cs="Arial"/>
          <w:sz w:val="24"/>
        </w:rPr>
      </w:pPr>
      <w:r>
        <w:rPr>
          <w:rFonts w:hint="eastAsia" w:ascii="宋体" w:hAnsi="宋体" w:cs="Arial"/>
          <w:sz w:val="24"/>
        </w:rPr>
        <w:t>2、所有服务内容必须与项目清单所列服务内容一致，以保证服务质量，否则采购人有权退货，同时由于使用成交供应商提供的不合格服务给采购人造成损害的，应照价赔偿，并承担由此造成的违约责任。</w:t>
      </w:r>
    </w:p>
    <w:p w14:paraId="7DC0DE50">
      <w:pPr>
        <w:spacing w:line="360" w:lineRule="auto"/>
        <w:ind w:firstLine="480" w:firstLineChars="200"/>
        <w:rPr>
          <w:rFonts w:ascii="宋体" w:hAnsi="宋体"/>
          <w:b/>
          <w:sz w:val="24"/>
        </w:rPr>
      </w:pPr>
      <w:r>
        <w:rPr>
          <w:rFonts w:hint="eastAsia" w:ascii="宋体" w:hAnsi="宋体" w:cs="Arial"/>
          <w:sz w:val="24"/>
        </w:rPr>
        <w:t>3、验收时成交供应商代表必须在场，验收合格后，采购人须在成交供应商出具的验收单签字，成交供应商凭验收单办理有关手续。</w:t>
      </w:r>
    </w:p>
    <w:p w14:paraId="0E8EEC5E">
      <w:pPr>
        <w:spacing w:line="360" w:lineRule="auto"/>
        <w:ind w:firstLine="480" w:firstLineChars="200"/>
        <w:rPr>
          <w:rFonts w:hint="eastAsia" w:ascii="宋体" w:hAnsi="宋体" w:cs="Arial"/>
          <w:sz w:val="24"/>
        </w:rPr>
      </w:pPr>
      <w:r>
        <w:rPr>
          <w:rFonts w:hint="eastAsia" w:ascii="宋体" w:hAnsi="宋体" w:cs="Arial"/>
          <w:sz w:val="24"/>
        </w:rPr>
        <w:t>4、若中标供应商未按本项目所要求进行服务（包括但不限于超出交付期交付服务、未履行服务承诺），首次出现以上情况者，给与警告；连续两次出现以上情况者，将视情节严重程度给予惩罚，情节严重者，将取消该中标供应商参与本院其他项目的投标资格。</w:t>
      </w:r>
    </w:p>
    <w:bookmarkEnd w:id="8"/>
    <w:bookmarkEnd w:id="9"/>
    <w:bookmarkEnd w:id="10"/>
    <w:p w14:paraId="2475A1EE">
      <w:pPr>
        <w:spacing w:line="360" w:lineRule="auto"/>
        <w:jc w:val="left"/>
        <w:rPr>
          <w:rFonts w:ascii="宋体" w:hAnsi="宋体"/>
          <w:b/>
          <w:sz w:val="24"/>
        </w:rPr>
      </w:pPr>
      <w:r>
        <w:rPr>
          <w:rFonts w:hint="eastAsia" w:ascii="宋体" w:hAnsi="宋体"/>
          <w:b/>
          <w:sz w:val="24"/>
        </w:rPr>
        <w:t>五、交付期及工程保修期</w:t>
      </w:r>
    </w:p>
    <w:p w14:paraId="4C52229B">
      <w:pPr>
        <w:spacing w:line="360" w:lineRule="auto"/>
        <w:ind w:firstLine="480" w:firstLineChars="200"/>
        <w:rPr>
          <w:rFonts w:ascii="宋体" w:hAnsi="宋体" w:cs="Arial"/>
          <w:sz w:val="24"/>
        </w:rPr>
      </w:pPr>
      <w:r>
        <w:rPr>
          <w:rFonts w:hint="eastAsia" w:ascii="宋体" w:hAnsi="宋体"/>
          <w:sz w:val="24"/>
        </w:rPr>
        <w:t>2026年</w:t>
      </w:r>
      <w:r>
        <w:rPr>
          <w:rFonts w:hint="eastAsia" w:ascii="宋体" w:hAnsi="宋体"/>
          <w:sz w:val="24"/>
          <w:lang w:val="en-US" w:eastAsia="zh-CN"/>
        </w:rPr>
        <w:t>10</w:t>
      </w:r>
      <w:r>
        <w:rPr>
          <w:rFonts w:hint="eastAsia" w:ascii="宋体" w:hAnsi="宋体"/>
          <w:sz w:val="24"/>
        </w:rPr>
        <w:t>月15日之前通过验收交付使用</w:t>
      </w:r>
      <w:r>
        <w:rPr>
          <w:rFonts w:hint="eastAsia" w:ascii="宋体" w:hAnsi="宋体" w:cs="Arial"/>
          <w:sz w:val="24"/>
        </w:rPr>
        <w:t>。</w:t>
      </w:r>
    </w:p>
    <w:p w14:paraId="7EA4E4D5">
      <w:pPr>
        <w:spacing w:line="360" w:lineRule="auto"/>
        <w:ind w:firstLine="480" w:firstLineChars="200"/>
        <w:rPr>
          <w:rFonts w:hint="eastAsia" w:ascii="宋体" w:hAnsi="宋体" w:eastAsia="宋体" w:cs="Arial"/>
          <w:sz w:val="24"/>
          <w:lang w:eastAsia="zh-CN"/>
        </w:rPr>
      </w:pPr>
      <w:r>
        <w:rPr>
          <w:rFonts w:hint="eastAsia" w:ascii="宋体" w:hAnsi="宋体" w:cs="Arial"/>
          <w:sz w:val="24"/>
        </w:rPr>
        <w:t>质保期要求：整车质保期6年或15万公里。</w:t>
      </w:r>
    </w:p>
    <w:p w14:paraId="3E790BEA">
      <w:pPr>
        <w:spacing w:line="360" w:lineRule="auto"/>
        <w:jc w:val="left"/>
        <w:rPr>
          <w:rFonts w:ascii="宋体" w:hAnsi="宋体"/>
          <w:b/>
          <w:sz w:val="24"/>
        </w:rPr>
      </w:pPr>
      <w:r>
        <w:rPr>
          <w:rFonts w:hint="eastAsia" w:ascii="宋体" w:hAnsi="宋体"/>
          <w:b/>
          <w:sz w:val="24"/>
        </w:rPr>
        <w:t>六、合同签订</w:t>
      </w:r>
      <w:bookmarkEnd w:id="11"/>
      <w:bookmarkEnd w:id="12"/>
      <w:bookmarkEnd w:id="13"/>
    </w:p>
    <w:p w14:paraId="0CF8D4A2">
      <w:pPr>
        <w:spacing w:line="360" w:lineRule="auto"/>
        <w:ind w:firstLine="480" w:firstLineChars="200"/>
        <w:rPr>
          <w:rFonts w:ascii="宋体" w:hAnsi="宋体"/>
          <w:sz w:val="24"/>
        </w:rPr>
      </w:pPr>
      <w:r>
        <w:rPr>
          <w:rFonts w:hint="eastAsia" w:ascii="宋体" w:hAnsi="宋体"/>
          <w:sz w:val="24"/>
        </w:rPr>
        <w:t>成交供应商中标</w:t>
      </w:r>
      <w:bookmarkStart w:id="15" w:name="_GoBack"/>
      <w:r>
        <w:rPr>
          <w:rFonts w:hint="eastAsia" w:ascii="宋体" w:hAnsi="宋体"/>
          <w:sz w:val="24"/>
        </w:rPr>
        <w:t>后应在</w:t>
      </w:r>
      <w:r>
        <w:rPr>
          <w:rFonts w:hint="eastAsia" w:ascii="宋体" w:hAnsi="宋体"/>
          <w:sz w:val="24"/>
          <w:lang w:val="en-US" w:eastAsia="zh-CN"/>
        </w:rPr>
        <w:t>20</w:t>
      </w:r>
      <w:r>
        <w:rPr>
          <w:rFonts w:hint="eastAsia" w:ascii="宋体" w:hAnsi="宋体"/>
          <w:sz w:val="24"/>
        </w:rPr>
        <w:t>日内与采购单位签订合同，否则视为自动放弃中标权</w:t>
      </w:r>
      <w:r>
        <w:rPr>
          <w:rFonts w:hint="eastAsia" w:ascii="宋体" w:hAnsi="宋体"/>
          <w:sz w:val="24"/>
          <w:lang w:val="en-US" w:eastAsia="zh-CN"/>
        </w:rPr>
        <w:t>,且取消该中标供应商参与本院其他项目的投标资格</w:t>
      </w:r>
      <w:r>
        <w:rPr>
          <w:rFonts w:hint="eastAsia" w:ascii="宋体" w:hAnsi="宋体"/>
          <w:sz w:val="24"/>
        </w:rPr>
        <w:t>。采购文件条款、成交供应商的采购响应文件内容均为合同签订的基础。成交供应商应在合同签订后的</w:t>
      </w:r>
      <w:r>
        <w:rPr>
          <w:rFonts w:hint="eastAsia" w:ascii="宋体" w:hAnsi="宋体"/>
          <w:b/>
          <w:sz w:val="24"/>
        </w:rPr>
        <w:t>两日</w:t>
      </w:r>
      <w:r>
        <w:rPr>
          <w:rFonts w:hint="eastAsia" w:ascii="宋体" w:hAnsi="宋体"/>
          <w:sz w:val="24"/>
        </w:rPr>
        <w:t>内将合同复印件送后勤保卫处备案。</w:t>
      </w:r>
      <w:bookmarkStart w:id="14" w:name="_Toc415216390"/>
    </w:p>
    <w:p w14:paraId="0C58DE7F">
      <w:pPr>
        <w:spacing w:line="360" w:lineRule="auto"/>
        <w:ind w:firstLine="480" w:firstLineChars="200"/>
      </w:pPr>
      <w:r>
        <w:rPr>
          <w:rFonts w:hint="eastAsia" w:ascii="宋体" w:hAnsi="宋体" w:cs="Arial"/>
          <w:sz w:val="24"/>
        </w:rPr>
        <w:t>若在签订合同时，发现成交供应商有提供虚假材料谋取成交等违法违规行为，将取消其成交供应商资格，并按相关规定处罚；给采购人造成损失的，还必须进行赔偿并负相关责任。</w:t>
      </w:r>
    </w:p>
    <w:p w14:paraId="71038739">
      <w:pPr>
        <w:spacing w:line="360" w:lineRule="auto"/>
        <w:jc w:val="left"/>
        <w:rPr>
          <w:rFonts w:ascii="宋体" w:hAnsi="宋体"/>
          <w:b/>
          <w:sz w:val="24"/>
        </w:rPr>
      </w:pPr>
      <w:r>
        <w:rPr>
          <w:rFonts w:hint="eastAsia" w:ascii="宋体" w:hAnsi="宋体"/>
          <w:b/>
          <w:sz w:val="24"/>
        </w:rPr>
        <w:t>七、付款方式</w:t>
      </w:r>
      <w:bookmarkEnd w:id="14"/>
    </w:p>
    <w:bookmarkEnd w:id="6"/>
    <w:bookmarkEnd w:id="7"/>
    <w:p w14:paraId="3E88990F">
      <w:pPr>
        <w:spacing w:line="360" w:lineRule="auto"/>
        <w:ind w:firstLine="480" w:firstLineChars="200"/>
        <w:jc w:val="left"/>
        <w:rPr>
          <w:rFonts w:hint="default" w:ascii="宋体" w:hAnsi="宋体" w:eastAsia="宋体" w:cs="Arial"/>
          <w:sz w:val="24"/>
          <w:lang w:val="en-US" w:eastAsia="zh-CN"/>
        </w:rPr>
      </w:pPr>
      <w:r>
        <w:rPr>
          <w:rFonts w:hint="eastAsia" w:ascii="宋体" w:hAnsi="宋体"/>
          <w:sz w:val="24"/>
          <w:szCs w:val="20"/>
          <w:lang w:eastAsia="zh-CN"/>
        </w:rPr>
        <w:t>以双方合同约定为准</w:t>
      </w:r>
      <w:r>
        <w:rPr>
          <w:rFonts w:hint="eastAsia" w:ascii="宋体" w:hAnsi="宋体"/>
          <w:sz w:val="24"/>
          <w:szCs w:val="20"/>
        </w:rPr>
        <w:t>。</w:t>
      </w:r>
    </w:p>
    <w:bookmarkEnd w:id="15"/>
    <w:p w14:paraId="6BECF0C1">
      <w:pPr>
        <w:spacing w:line="360" w:lineRule="auto"/>
        <w:jc w:val="left"/>
        <w:rPr>
          <w:rFonts w:ascii="宋体" w:hAnsi="宋体" w:cs="Arial"/>
          <w:sz w:val="24"/>
        </w:rPr>
      </w:pPr>
    </w:p>
    <w:sectPr>
      <w:headerReference r:id="rId3" w:type="first"/>
      <w:footerReference r:id="rId4" w:type="first"/>
      <w:pgSz w:w="11907" w:h="16840"/>
      <w:pgMar w:top="1304" w:right="1304" w:bottom="1134" w:left="1304" w:header="567" w:footer="567" w:gutter="0"/>
      <w:cols w:space="720" w:num="1"/>
      <w:docGrid w:linePitch="38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CE3067">
    <w:pPr>
      <w:pStyle w:val="11"/>
    </w:pPr>
    <w:r>
      <w:rPr>
        <w:sz w:val="20"/>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-31750</wp:posOffset>
              </wp:positionV>
              <wp:extent cx="6235700" cy="0"/>
              <wp:effectExtent l="9525" t="6350" r="12700" b="12700"/>
              <wp:wrapNone/>
              <wp:docPr id="1" name="Line 1025"/>
              <wp:cNvGraphicFramePr/>
              <a:graphic xmlns:a="http://schemas.openxmlformats.org/drawingml/2006/main">
                <a:graphicData uri="http://schemas.microsoft.com/office/word/2010/wordprocessingShape">
                  <wps:wsp>
                    <wps:cNvCnPr>
                      <a:cxnSpLocks noChangeShapeType="1"/>
                    </wps:cNvCnPr>
                    <wps:spPr bwMode="auto">
                      <a:xfrm>
                        <a:off x="0" y="0"/>
                        <a:ext cx="6235700" cy="0"/>
                      </a:xfrm>
                      <a:prstGeom prst="line">
                        <a:avLst/>
                      </a:prstGeom>
                      <a:noFill/>
                      <a:ln w="9525">
                        <a:solidFill>
                          <a:srgbClr val="000000"/>
                        </a:solidFill>
                        <a:round/>
                      </a:ln>
                    </wps:spPr>
                    <wps:bodyPr/>
                  </wps:wsp>
                </a:graphicData>
              </a:graphic>
            </wp:anchor>
          </w:drawing>
        </mc:Choice>
        <mc:Fallback>
          <w:pict>
            <v:line id="Line 1025" o:spid="_x0000_s1026" o:spt="20" style="position:absolute;left:0pt;margin-left:0pt;margin-top:-2.5pt;height:0pt;width:491pt;z-index:251659264;mso-width-relative:page;mso-height-relative:page;" filled="f" stroked="t" coordsize="21600,21600" o:gfxdata="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0uB1ddQAAAAGAQAADwAAAAAAAAABACAAAAAiAAAAZHJzL2Rvd25y&#10;ZXYueG1sUEsBAhQAFAAAAAgAh07iQL8ciRTJAQAAogMAAA4AAAAAAAAAAQAgAAAAIwEAAGRycy9l&#10;Mm9Eb2MueG1sUEsFBgAAAAAGAAYAWQEAAF4FAAAAAA==&#10;">
              <v:fill on="f" focussize="0,0"/>
              <v:stroke color="#000000" joinstyle="round"/>
              <v:imagedata o:title=""/>
              <o:lock v:ext="edit" aspectratio="f"/>
            </v:line>
          </w:pict>
        </mc:Fallback>
      </mc:AlternateContent>
    </w:r>
    <w:r>
      <w:rPr>
        <w:rFonts w:hint="eastAsia"/>
        <w:sz w:val="20"/>
      </w:rPr>
      <w:t xml:space="preserve">厦门市务实采购有限公司 </w:t>
    </w:r>
    <w:r>
      <w:rPr>
        <w:rFonts w:hint="eastAsia"/>
      </w:rPr>
      <w:t xml:space="preserve">           http：//www.xmws.com                                              </w:t>
    </w:r>
    <w:r>
      <w:t xml:space="preserve">- </w:t>
    </w:r>
    <w:r>
      <w:fldChar w:fldCharType="begin"/>
    </w:r>
    <w:r>
      <w:instrText xml:space="preserve"> PAGE </w:instrText>
    </w:r>
    <w:r>
      <w:fldChar w:fldCharType="separate"/>
    </w:r>
    <w:r>
      <w:t>1</w:t>
    </w:r>
    <w:r>
      <w:fldChar w:fldCharType="end"/>
    </w:r>
    <w:r>
      <w:t xml:space="preserve"> -</w:t>
    </w:r>
    <w:r>
      <w:rPr>
        <w:rFonts w:hint="eastAsia"/>
      </w:rPr>
      <w:t xml:space="preserve">  25</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4F4763">
    <w:pPr>
      <w:pStyle w:val="12"/>
    </w:pPr>
    <w:r>
      <w:rPr>
        <w:rFonts w:hint="eastAsia"/>
      </w:rPr>
      <w:t xml:space="preserve">目录                                                                                </w:t>
    </w:r>
    <w:r>
      <w:rPr>
        <w:rFonts w:hint="eastAsia"/>
        <w:i/>
        <w:iCs/>
      </w:rPr>
      <w:t>谈判编号： 2007-WS120/5</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g1NWNkYmVjZjFlM2M0MTBjZTRhNWFhNGEyMjQ4ZGUifQ=="/>
  </w:docVars>
  <w:rsids>
    <w:rsidRoot w:val="00EA75B5"/>
    <w:rsid w:val="00006F49"/>
    <w:rsid w:val="000076D4"/>
    <w:rsid w:val="00007724"/>
    <w:rsid w:val="00013895"/>
    <w:rsid w:val="00034C20"/>
    <w:rsid w:val="00034F02"/>
    <w:rsid w:val="00040592"/>
    <w:rsid w:val="000569B8"/>
    <w:rsid w:val="00066222"/>
    <w:rsid w:val="0007445D"/>
    <w:rsid w:val="00075A76"/>
    <w:rsid w:val="00083BD3"/>
    <w:rsid w:val="000905AA"/>
    <w:rsid w:val="000B369D"/>
    <w:rsid w:val="000C2CB1"/>
    <w:rsid w:val="000C3334"/>
    <w:rsid w:val="000C4B0A"/>
    <w:rsid w:val="000E58C7"/>
    <w:rsid w:val="001015B5"/>
    <w:rsid w:val="00110AFB"/>
    <w:rsid w:val="00133692"/>
    <w:rsid w:val="00136171"/>
    <w:rsid w:val="001505F3"/>
    <w:rsid w:val="001515AA"/>
    <w:rsid w:val="00154327"/>
    <w:rsid w:val="00162538"/>
    <w:rsid w:val="001705C8"/>
    <w:rsid w:val="00182767"/>
    <w:rsid w:val="00196D1F"/>
    <w:rsid w:val="00197D15"/>
    <w:rsid w:val="001A1202"/>
    <w:rsid w:val="001A39D1"/>
    <w:rsid w:val="001C308E"/>
    <w:rsid w:val="001C64ED"/>
    <w:rsid w:val="001D1D03"/>
    <w:rsid w:val="001D633D"/>
    <w:rsid w:val="001E13C8"/>
    <w:rsid w:val="001E7D80"/>
    <w:rsid w:val="001F4CE0"/>
    <w:rsid w:val="00220C50"/>
    <w:rsid w:val="00222A78"/>
    <w:rsid w:val="00233B8E"/>
    <w:rsid w:val="00242E8E"/>
    <w:rsid w:val="00266801"/>
    <w:rsid w:val="0028533C"/>
    <w:rsid w:val="00291C13"/>
    <w:rsid w:val="00295261"/>
    <w:rsid w:val="00297471"/>
    <w:rsid w:val="00297FB2"/>
    <w:rsid w:val="002B4967"/>
    <w:rsid w:val="002E4552"/>
    <w:rsid w:val="002E69A7"/>
    <w:rsid w:val="0031231E"/>
    <w:rsid w:val="00314EA3"/>
    <w:rsid w:val="00327477"/>
    <w:rsid w:val="00340A35"/>
    <w:rsid w:val="0034769B"/>
    <w:rsid w:val="00353399"/>
    <w:rsid w:val="003565B1"/>
    <w:rsid w:val="00364555"/>
    <w:rsid w:val="00366B46"/>
    <w:rsid w:val="0036750D"/>
    <w:rsid w:val="00377ECD"/>
    <w:rsid w:val="00383742"/>
    <w:rsid w:val="00385718"/>
    <w:rsid w:val="00385A56"/>
    <w:rsid w:val="00390471"/>
    <w:rsid w:val="003909F4"/>
    <w:rsid w:val="003A7AC0"/>
    <w:rsid w:val="003B4BAA"/>
    <w:rsid w:val="003B6AD1"/>
    <w:rsid w:val="003C4D32"/>
    <w:rsid w:val="003D07BB"/>
    <w:rsid w:val="003E7573"/>
    <w:rsid w:val="00412E38"/>
    <w:rsid w:val="00420E32"/>
    <w:rsid w:val="004317E8"/>
    <w:rsid w:val="00433A67"/>
    <w:rsid w:val="004377E6"/>
    <w:rsid w:val="00441DA2"/>
    <w:rsid w:val="00466F0F"/>
    <w:rsid w:val="004704E8"/>
    <w:rsid w:val="00473907"/>
    <w:rsid w:val="00476B95"/>
    <w:rsid w:val="00480370"/>
    <w:rsid w:val="00493B7E"/>
    <w:rsid w:val="004A5524"/>
    <w:rsid w:val="004C678E"/>
    <w:rsid w:val="004D6A53"/>
    <w:rsid w:val="004E5DBE"/>
    <w:rsid w:val="004F3C57"/>
    <w:rsid w:val="004F5E47"/>
    <w:rsid w:val="004F61E1"/>
    <w:rsid w:val="005001AA"/>
    <w:rsid w:val="005007FF"/>
    <w:rsid w:val="00513C6C"/>
    <w:rsid w:val="005276EB"/>
    <w:rsid w:val="00534474"/>
    <w:rsid w:val="0054470F"/>
    <w:rsid w:val="0055766E"/>
    <w:rsid w:val="0056215C"/>
    <w:rsid w:val="00566825"/>
    <w:rsid w:val="005739B5"/>
    <w:rsid w:val="005831A2"/>
    <w:rsid w:val="00587C26"/>
    <w:rsid w:val="005942C3"/>
    <w:rsid w:val="005A0C28"/>
    <w:rsid w:val="005A58B0"/>
    <w:rsid w:val="005B4F73"/>
    <w:rsid w:val="005B5F2E"/>
    <w:rsid w:val="005B6EF0"/>
    <w:rsid w:val="005C3715"/>
    <w:rsid w:val="005C732D"/>
    <w:rsid w:val="005E63DD"/>
    <w:rsid w:val="00620856"/>
    <w:rsid w:val="0065293B"/>
    <w:rsid w:val="00681D49"/>
    <w:rsid w:val="00693F8A"/>
    <w:rsid w:val="006A4003"/>
    <w:rsid w:val="006A7314"/>
    <w:rsid w:val="006A7492"/>
    <w:rsid w:val="006B51AE"/>
    <w:rsid w:val="006C530A"/>
    <w:rsid w:val="006D07AB"/>
    <w:rsid w:val="006D570A"/>
    <w:rsid w:val="00707C35"/>
    <w:rsid w:val="00720B01"/>
    <w:rsid w:val="0072394E"/>
    <w:rsid w:val="00737C22"/>
    <w:rsid w:val="00742126"/>
    <w:rsid w:val="00752333"/>
    <w:rsid w:val="00760C67"/>
    <w:rsid w:val="00771AB1"/>
    <w:rsid w:val="00772BF6"/>
    <w:rsid w:val="00791848"/>
    <w:rsid w:val="00791985"/>
    <w:rsid w:val="00793DE3"/>
    <w:rsid w:val="007C7CF1"/>
    <w:rsid w:val="007D05A2"/>
    <w:rsid w:val="007E6C86"/>
    <w:rsid w:val="007E7A60"/>
    <w:rsid w:val="00812748"/>
    <w:rsid w:val="00822A53"/>
    <w:rsid w:val="00822DB8"/>
    <w:rsid w:val="00825F34"/>
    <w:rsid w:val="00832DAF"/>
    <w:rsid w:val="00866FCF"/>
    <w:rsid w:val="0087100D"/>
    <w:rsid w:val="00872EAD"/>
    <w:rsid w:val="00882341"/>
    <w:rsid w:val="0089462E"/>
    <w:rsid w:val="008A11B2"/>
    <w:rsid w:val="008A41C6"/>
    <w:rsid w:val="008A70DE"/>
    <w:rsid w:val="008B5073"/>
    <w:rsid w:val="008B5720"/>
    <w:rsid w:val="008C33A8"/>
    <w:rsid w:val="008C476E"/>
    <w:rsid w:val="008D14AB"/>
    <w:rsid w:val="008D59A3"/>
    <w:rsid w:val="00901798"/>
    <w:rsid w:val="00912A63"/>
    <w:rsid w:val="00937319"/>
    <w:rsid w:val="009450E7"/>
    <w:rsid w:val="00967F80"/>
    <w:rsid w:val="00976230"/>
    <w:rsid w:val="0099779B"/>
    <w:rsid w:val="009A0715"/>
    <w:rsid w:val="009A6D91"/>
    <w:rsid w:val="009B7522"/>
    <w:rsid w:val="009C382C"/>
    <w:rsid w:val="009D0BEF"/>
    <w:rsid w:val="009F054B"/>
    <w:rsid w:val="00A0001F"/>
    <w:rsid w:val="00A13EC3"/>
    <w:rsid w:val="00A3765B"/>
    <w:rsid w:val="00A70C21"/>
    <w:rsid w:val="00A72407"/>
    <w:rsid w:val="00A74132"/>
    <w:rsid w:val="00A87E07"/>
    <w:rsid w:val="00A93C55"/>
    <w:rsid w:val="00AB38E7"/>
    <w:rsid w:val="00AC708B"/>
    <w:rsid w:val="00AE7703"/>
    <w:rsid w:val="00B07B2D"/>
    <w:rsid w:val="00B12DC4"/>
    <w:rsid w:val="00B2171F"/>
    <w:rsid w:val="00B22617"/>
    <w:rsid w:val="00B344CA"/>
    <w:rsid w:val="00B35579"/>
    <w:rsid w:val="00B40FE8"/>
    <w:rsid w:val="00B509F3"/>
    <w:rsid w:val="00B51062"/>
    <w:rsid w:val="00B8294C"/>
    <w:rsid w:val="00B83C04"/>
    <w:rsid w:val="00B92A84"/>
    <w:rsid w:val="00B93748"/>
    <w:rsid w:val="00BD1A9B"/>
    <w:rsid w:val="00BE17F8"/>
    <w:rsid w:val="00BE3C71"/>
    <w:rsid w:val="00C44778"/>
    <w:rsid w:val="00C52C96"/>
    <w:rsid w:val="00C828A3"/>
    <w:rsid w:val="00CA2156"/>
    <w:rsid w:val="00CA231A"/>
    <w:rsid w:val="00CA2FAB"/>
    <w:rsid w:val="00CC27A3"/>
    <w:rsid w:val="00CC31E9"/>
    <w:rsid w:val="00CC3FBD"/>
    <w:rsid w:val="00CC437A"/>
    <w:rsid w:val="00CE428D"/>
    <w:rsid w:val="00CF3475"/>
    <w:rsid w:val="00D02157"/>
    <w:rsid w:val="00D1037A"/>
    <w:rsid w:val="00D128A3"/>
    <w:rsid w:val="00D17316"/>
    <w:rsid w:val="00D26443"/>
    <w:rsid w:val="00D3632B"/>
    <w:rsid w:val="00D52485"/>
    <w:rsid w:val="00D53A5E"/>
    <w:rsid w:val="00D57376"/>
    <w:rsid w:val="00D65D1D"/>
    <w:rsid w:val="00D6617F"/>
    <w:rsid w:val="00D85C8D"/>
    <w:rsid w:val="00D96EEA"/>
    <w:rsid w:val="00DA3E04"/>
    <w:rsid w:val="00DA4D99"/>
    <w:rsid w:val="00DB2AA6"/>
    <w:rsid w:val="00DC5C17"/>
    <w:rsid w:val="00DD0913"/>
    <w:rsid w:val="00DD2FB2"/>
    <w:rsid w:val="00DE537B"/>
    <w:rsid w:val="00DF1927"/>
    <w:rsid w:val="00DF6DA3"/>
    <w:rsid w:val="00E26F2A"/>
    <w:rsid w:val="00E52370"/>
    <w:rsid w:val="00E76530"/>
    <w:rsid w:val="00E80211"/>
    <w:rsid w:val="00E827C4"/>
    <w:rsid w:val="00E9025E"/>
    <w:rsid w:val="00E91EE1"/>
    <w:rsid w:val="00E94A51"/>
    <w:rsid w:val="00EA5FCA"/>
    <w:rsid w:val="00EA75B5"/>
    <w:rsid w:val="00EB065C"/>
    <w:rsid w:val="00ED21BE"/>
    <w:rsid w:val="00ED7C52"/>
    <w:rsid w:val="00EE6D9E"/>
    <w:rsid w:val="00F05C97"/>
    <w:rsid w:val="00F07307"/>
    <w:rsid w:val="00F148FB"/>
    <w:rsid w:val="00F259F5"/>
    <w:rsid w:val="00F278BC"/>
    <w:rsid w:val="00F42AA6"/>
    <w:rsid w:val="00F55873"/>
    <w:rsid w:val="00F55966"/>
    <w:rsid w:val="00F66B66"/>
    <w:rsid w:val="00F724B1"/>
    <w:rsid w:val="00F806A8"/>
    <w:rsid w:val="00F8437D"/>
    <w:rsid w:val="00F84434"/>
    <w:rsid w:val="00F92E78"/>
    <w:rsid w:val="00F932C7"/>
    <w:rsid w:val="00F94681"/>
    <w:rsid w:val="00F94B6A"/>
    <w:rsid w:val="00FA38CE"/>
    <w:rsid w:val="00FB371D"/>
    <w:rsid w:val="00FC2932"/>
    <w:rsid w:val="00FC3474"/>
    <w:rsid w:val="00FD0C6A"/>
    <w:rsid w:val="00FD2FDF"/>
    <w:rsid w:val="00FE58D8"/>
    <w:rsid w:val="00FF48DC"/>
    <w:rsid w:val="016621C0"/>
    <w:rsid w:val="01CB1A2A"/>
    <w:rsid w:val="02C12D0A"/>
    <w:rsid w:val="036258C5"/>
    <w:rsid w:val="06544AB8"/>
    <w:rsid w:val="07885A9A"/>
    <w:rsid w:val="08127289"/>
    <w:rsid w:val="08655D56"/>
    <w:rsid w:val="09B01C47"/>
    <w:rsid w:val="0A617164"/>
    <w:rsid w:val="0CC0586A"/>
    <w:rsid w:val="0CE040AC"/>
    <w:rsid w:val="0E7E2314"/>
    <w:rsid w:val="0FB12508"/>
    <w:rsid w:val="1021177C"/>
    <w:rsid w:val="11BA47B3"/>
    <w:rsid w:val="13000B82"/>
    <w:rsid w:val="157F0D1F"/>
    <w:rsid w:val="15995BD7"/>
    <w:rsid w:val="16DF3B6C"/>
    <w:rsid w:val="1822283F"/>
    <w:rsid w:val="18A92683"/>
    <w:rsid w:val="18AE1A9C"/>
    <w:rsid w:val="18CD3E90"/>
    <w:rsid w:val="19042C9D"/>
    <w:rsid w:val="1B23671D"/>
    <w:rsid w:val="1C21593D"/>
    <w:rsid w:val="1C2F2E9F"/>
    <w:rsid w:val="1EB67ACC"/>
    <w:rsid w:val="204C02B7"/>
    <w:rsid w:val="20F969C3"/>
    <w:rsid w:val="224247E6"/>
    <w:rsid w:val="22BB548D"/>
    <w:rsid w:val="24913D48"/>
    <w:rsid w:val="24F01D09"/>
    <w:rsid w:val="268B1F69"/>
    <w:rsid w:val="279A7B42"/>
    <w:rsid w:val="286F11F3"/>
    <w:rsid w:val="29E72D41"/>
    <w:rsid w:val="2B694D8F"/>
    <w:rsid w:val="2D0B02AF"/>
    <w:rsid w:val="2DF31F7F"/>
    <w:rsid w:val="2E200953"/>
    <w:rsid w:val="306C6018"/>
    <w:rsid w:val="31074D1A"/>
    <w:rsid w:val="312D0ED1"/>
    <w:rsid w:val="313528AE"/>
    <w:rsid w:val="32BA5BAE"/>
    <w:rsid w:val="32E025AE"/>
    <w:rsid w:val="32F33203"/>
    <w:rsid w:val="369D4AC1"/>
    <w:rsid w:val="37151C7F"/>
    <w:rsid w:val="379C5B50"/>
    <w:rsid w:val="37A429D8"/>
    <w:rsid w:val="381628A3"/>
    <w:rsid w:val="39EC768B"/>
    <w:rsid w:val="3B6F6E68"/>
    <w:rsid w:val="3C137AA7"/>
    <w:rsid w:val="3DE6740A"/>
    <w:rsid w:val="3F55087D"/>
    <w:rsid w:val="40F355E7"/>
    <w:rsid w:val="415314AB"/>
    <w:rsid w:val="41CC34E8"/>
    <w:rsid w:val="421E4837"/>
    <w:rsid w:val="43872C18"/>
    <w:rsid w:val="43EB01A6"/>
    <w:rsid w:val="442153B2"/>
    <w:rsid w:val="45061759"/>
    <w:rsid w:val="4662784A"/>
    <w:rsid w:val="482423BD"/>
    <w:rsid w:val="48AC1250"/>
    <w:rsid w:val="48F04953"/>
    <w:rsid w:val="4BE331DB"/>
    <w:rsid w:val="4C1946E8"/>
    <w:rsid w:val="4C4A56A6"/>
    <w:rsid w:val="4E6E77D2"/>
    <w:rsid w:val="4F702FD7"/>
    <w:rsid w:val="52393245"/>
    <w:rsid w:val="52DB747A"/>
    <w:rsid w:val="53AC7DDC"/>
    <w:rsid w:val="54113459"/>
    <w:rsid w:val="556A04C9"/>
    <w:rsid w:val="559F3429"/>
    <w:rsid w:val="57B53A83"/>
    <w:rsid w:val="58083B15"/>
    <w:rsid w:val="5834442A"/>
    <w:rsid w:val="58362732"/>
    <w:rsid w:val="58404F17"/>
    <w:rsid w:val="592874AA"/>
    <w:rsid w:val="59842FD6"/>
    <w:rsid w:val="598A0AF6"/>
    <w:rsid w:val="59C76792"/>
    <w:rsid w:val="5D87222F"/>
    <w:rsid w:val="5E437884"/>
    <w:rsid w:val="5EF157B7"/>
    <w:rsid w:val="5FA65915"/>
    <w:rsid w:val="61FB0FEB"/>
    <w:rsid w:val="62B42447"/>
    <w:rsid w:val="64783148"/>
    <w:rsid w:val="65613696"/>
    <w:rsid w:val="66652D12"/>
    <w:rsid w:val="66986E4F"/>
    <w:rsid w:val="66C261F4"/>
    <w:rsid w:val="675414F1"/>
    <w:rsid w:val="690F51B7"/>
    <w:rsid w:val="69CC12FA"/>
    <w:rsid w:val="69DB5EEA"/>
    <w:rsid w:val="6A0424AA"/>
    <w:rsid w:val="6C4C672D"/>
    <w:rsid w:val="70684812"/>
    <w:rsid w:val="71167B99"/>
    <w:rsid w:val="73350193"/>
    <w:rsid w:val="733F058E"/>
    <w:rsid w:val="73912E58"/>
    <w:rsid w:val="73BE261B"/>
    <w:rsid w:val="742F4960"/>
    <w:rsid w:val="76EF436A"/>
    <w:rsid w:val="78614FEC"/>
    <w:rsid w:val="794F12CC"/>
    <w:rsid w:val="7BDF766E"/>
    <w:rsid w:val="7C125D47"/>
    <w:rsid w:val="7CE86AD4"/>
    <w:rsid w:val="7DA3490E"/>
    <w:rsid w:val="7DCE2A2B"/>
    <w:rsid w:val="7EEA7E01"/>
    <w:rsid w:val="7F871A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9" w:name="heading 4"/>
    <w:lsdException w:qFormat="1" w:unhideWhenUsed="0" w:uiPriority="0"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8"/>
      <w:szCs w:val="24"/>
      <w:lang w:val="en-US" w:eastAsia="zh-CN" w:bidi="ar-SA"/>
    </w:rPr>
  </w:style>
  <w:style w:type="paragraph" w:styleId="3">
    <w:name w:val="heading 1"/>
    <w:basedOn w:val="1"/>
    <w:next w:val="1"/>
    <w:link w:val="21"/>
    <w:autoRedefine/>
    <w:qFormat/>
    <w:uiPriority w:val="0"/>
    <w:pPr>
      <w:keepNext/>
      <w:keepLines/>
      <w:spacing w:before="340" w:after="330" w:line="576" w:lineRule="auto"/>
      <w:outlineLvl w:val="0"/>
    </w:pPr>
    <w:rPr>
      <w:b/>
      <w:bCs/>
      <w:kern w:val="44"/>
      <w:sz w:val="44"/>
      <w:szCs w:val="44"/>
    </w:rPr>
  </w:style>
  <w:style w:type="paragraph" w:styleId="4">
    <w:name w:val="heading 2"/>
    <w:basedOn w:val="1"/>
    <w:next w:val="1"/>
    <w:link w:val="22"/>
    <w:autoRedefine/>
    <w:qFormat/>
    <w:uiPriority w:val="0"/>
    <w:pPr>
      <w:keepNext/>
      <w:keepLines/>
      <w:spacing w:before="260" w:after="260" w:line="415" w:lineRule="auto"/>
      <w:outlineLvl w:val="1"/>
    </w:pPr>
    <w:rPr>
      <w:rFonts w:ascii="Arial" w:hAnsi="Arial" w:eastAsia="黑体"/>
      <w:b/>
      <w:bCs/>
      <w:sz w:val="32"/>
      <w:szCs w:val="32"/>
    </w:rPr>
  </w:style>
  <w:style w:type="paragraph" w:styleId="5">
    <w:name w:val="heading 3"/>
    <w:basedOn w:val="1"/>
    <w:next w:val="1"/>
    <w:link w:val="23"/>
    <w:autoRedefine/>
    <w:qFormat/>
    <w:uiPriority w:val="0"/>
    <w:pPr>
      <w:keepNext/>
      <w:keepLines/>
      <w:spacing w:before="260" w:after="260" w:line="415" w:lineRule="auto"/>
      <w:outlineLvl w:val="2"/>
    </w:pPr>
    <w:rPr>
      <w:b/>
      <w:bCs/>
      <w:sz w:val="32"/>
      <w:szCs w:val="32"/>
    </w:rPr>
  </w:style>
  <w:style w:type="paragraph" w:styleId="2">
    <w:name w:val="heading 5"/>
    <w:basedOn w:val="1"/>
    <w:next w:val="1"/>
    <w:qFormat/>
    <w:uiPriority w:val="0"/>
    <w:pPr>
      <w:keepNext/>
      <w:jc w:val="center"/>
      <w:outlineLvl w:val="4"/>
    </w:pPr>
    <w:rPr>
      <w:rFonts w:ascii="Arial" w:hAnsi="Arial"/>
      <w:sz w:val="28"/>
    </w:rPr>
  </w:style>
  <w:style w:type="character" w:default="1" w:styleId="17">
    <w:name w:val="Default Paragraph Font"/>
    <w:autoRedefine/>
    <w:semiHidden/>
    <w:unhideWhenUsed/>
    <w:qFormat/>
    <w:uiPriority w:val="1"/>
  </w:style>
  <w:style w:type="table" w:default="1" w:styleId="16">
    <w:name w:val="Normal Table"/>
    <w:autoRedefine/>
    <w:semiHidden/>
    <w:unhideWhenUsed/>
    <w:qFormat/>
    <w:uiPriority w:val="99"/>
    <w:tblPr>
      <w:tblCellMar>
        <w:top w:w="0" w:type="dxa"/>
        <w:left w:w="108" w:type="dxa"/>
        <w:bottom w:w="0" w:type="dxa"/>
        <w:right w:w="108" w:type="dxa"/>
      </w:tblCellMar>
    </w:tblPr>
  </w:style>
  <w:style w:type="paragraph" w:styleId="6">
    <w:name w:val="annotation text"/>
    <w:basedOn w:val="1"/>
    <w:autoRedefine/>
    <w:semiHidden/>
    <w:unhideWhenUsed/>
    <w:qFormat/>
    <w:uiPriority w:val="99"/>
    <w:pPr>
      <w:jc w:val="left"/>
    </w:pPr>
  </w:style>
  <w:style w:type="paragraph" w:styleId="7">
    <w:name w:val="Body Text"/>
    <w:basedOn w:val="1"/>
    <w:next w:val="1"/>
    <w:autoRedefine/>
    <w:qFormat/>
    <w:uiPriority w:val="0"/>
    <w:pPr>
      <w:spacing w:after="120"/>
    </w:pPr>
  </w:style>
  <w:style w:type="paragraph" w:styleId="8">
    <w:name w:val="Body Text Indent"/>
    <w:basedOn w:val="1"/>
    <w:next w:val="9"/>
    <w:autoRedefine/>
    <w:qFormat/>
    <w:uiPriority w:val="0"/>
    <w:pPr>
      <w:spacing w:after="120"/>
      <w:ind w:left="420" w:leftChars="200"/>
    </w:pPr>
  </w:style>
  <w:style w:type="paragraph" w:styleId="9">
    <w:name w:val="envelope return"/>
    <w:basedOn w:val="1"/>
    <w:autoRedefine/>
    <w:qFormat/>
    <w:uiPriority w:val="0"/>
    <w:pPr>
      <w:snapToGrid w:val="0"/>
    </w:pPr>
    <w:rPr>
      <w:rFonts w:ascii="Arial" w:hAnsi="Arial"/>
    </w:rPr>
  </w:style>
  <w:style w:type="paragraph" w:styleId="10">
    <w:name w:val="Plain Text"/>
    <w:basedOn w:val="1"/>
    <w:link w:val="24"/>
    <w:autoRedefine/>
    <w:qFormat/>
    <w:uiPriority w:val="0"/>
    <w:rPr>
      <w:rFonts w:ascii="宋体" w:hAnsi="Courier New" w:cstheme="minorBidi"/>
      <w:sz w:val="21"/>
      <w:szCs w:val="22"/>
    </w:rPr>
  </w:style>
  <w:style w:type="paragraph" w:styleId="11">
    <w:name w:val="footer"/>
    <w:basedOn w:val="1"/>
    <w:link w:val="20"/>
    <w:autoRedefine/>
    <w:unhideWhenUsed/>
    <w:qFormat/>
    <w:uiPriority w:val="0"/>
    <w:pPr>
      <w:tabs>
        <w:tab w:val="center" w:pos="4153"/>
        <w:tab w:val="right" w:pos="8306"/>
      </w:tabs>
      <w:snapToGrid w:val="0"/>
      <w:jc w:val="left"/>
    </w:pPr>
    <w:rPr>
      <w:rFonts w:asciiTheme="minorHAnsi" w:hAnsiTheme="minorHAnsi" w:eastAsiaTheme="minorEastAsia" w:cstheme="minorBidi"/>
      <w:sz w:val="18"/>
      <w:szCs w:val="18"/>
    </w:rPr>
  </w:style>
  <w:style w:type="paragraph" w:styleId="12">
    <w:name w:val="header"/>
    <w:basedOn w:val="1"/>
    <w:link w:val="19"/>
    <w:autoRedefine/>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13">
    <w:name w:val="Normal (Web)"/>
    <w:basedOn w:val="1"/>
    <w:autoRedefine/>
    <w:qFormat/>
    <w:uiPriority w:val="99"/>
    <w:pPr>
      <w:spacing w:line="300" w:lineRule="auto"/>
    </w:pPr>
    <w:rPr>
      <w:sz w:val="24"/>
    </w:rPr>
  </w:style>
  <w:style w:type="paragraph" w:styleId="14">
    <w:name w:val="Body Text First Indent 2"/>
    <w:basedOn w:val="8"/>
    <w:next w:val="15"/>
    <w:autoRedefine/>
    <w:qFormat/>
    <w:uiPriority w:val="0"/>
    <w:pPr>
      <w:ind w:firstLine="420" w:firstLineChars="200"/>
    </w:pPr>
  </w:style>
  <w:style w:type="paragraph" w:customStyle="1" w:styleId="15">
    <w:name w:val="正文1"/>
    <w:autoRedefine/>
    <w:qFormat/>
    <w:uiPriority w:val="0"/>
    <w:pPr>
      <w:widowControl w:val="0"/>
      <w:tabs>
        <w:tab w:val="left" w:pos="567"/>
      </w:tabs>
      <w:adjustRightInd w:val="0"/>
      <w:spacing w:line="360" w:lineRule="atLeast"/>
      <w:ind w:left="567" w:hanging="567"/>
      <w:textAlignment w:val="baseline"/>
    </w:pPr>
    <w:rPr>
      <w:rFonts w:ascii="宋体" w:hAnsi="Times New Roman" w:eastAsia="Times New Roman" w:cs="Times New Roman"/>
      <w:sz w:val="24"/>
      <w:szCs w:val="22"/>
      <w:lang w:val="en-US" w:eastAsia="zh-CN" w:bidi="ar-SA"/>
    </w:rPr>
  </w:style>
  <w:style w:type="paragraph" w:customStyle="1" w:styleId="18">
    <w:name w:val="Fließtext"/>
    <w:basedOn w:val="1"/>
    <w:autoRedefine/>
    <w:qFormat/>
    <w:uiPriority w:val="0"/>
    <w:pPr>
      <w:overflowPunct w:val="0"/>
      <w:autoSpaceDE w:val="0"/>
      <w:autoSpaceDN w:val="0"/>
      <w:adjustRightInd w:val="0"/>
      <w:textAlignment w:val="baseline"/>
    </w:pPr>
    <w:rPr>
      <w:kern w:val="28"/>
      <w:szCs w:val="20"/>
    </w:rPr>
  </w:style>
  <w:style w:type="character" w:customStyle="1" w:styleId="19">
    <w:name w:val="页眉 Char"/>
    <w:basedOn w:val="17"/>
    <w:link w:val="12"/>
    <w:autoRedefine/>
    <w:qFormat/>
    <w:uiPriority w:val="99"/>
    <w:rPr>
      <w:sz w:val="18"/>
      <w:szCs w:val="18"/>
    </w:rPr>
  </w:style>
  <w:style w:type="character" w:customStyle="1" w:styleId="20">
    <w:name w:val="页脚 Char"/>
    <w:basedOn w:val="17"/>
    <w:link w:val="11"/>
    <w:autoRedefine/>
    <w:semiHidden/>
    <w:qFormat/>
    <w:uiPriority w:val="99"/>
    <w:rPr>
      <w:sz w:val="18"/>
      <w:szCs w:val="18"/>
    </w:rPr>
  </w:style>
  <w:style w:type="character" w:customStyle="1" w:styleId="21">
    <w:name w:val="标题 1 Char"/>
    <w:basedOn w:val="17"/>
    <w:link w:val="3"/>
    <w:autoRedefine/>
    <w:qFormat/>
    <w:uiPriority w:val="0"/>
    <w:rPr>
      <w:rFonts w:ascii="Times New Roman" w:hAnsi="Times New Roman" w:eastAsia="宋体" w:cs="Times New Roman"/>
      <w:b/>
      <w:bCs/>
      <w:kern w:val="44"/>
      <w:sz w:val="44"/>
      <w:szCs w:val="44"/>
    </w:rPr>
  </w:style>
  <w:style w:type="character" w:customStyle="1" w:styleId="22">
    <w:name w:val="标题 2 Char"/>
    <w:basedOn w:val="17"/>
    <w:link w:val="4"/>
    <w:autoRedefine/>
    <w:qFormat/>
    <w:uiPriority w:val="0"/>
    <w:rPr>
      <w:rFonts w:ascii="Arial" w:hAnsi="Arial" w:eastAsia="黑体" w:cs="Times New Roman"/>
      <w:b/>
      <w:bCs/>
      <w:sz w:val="32"/>
      <w:szCs w:val="32"/>
    </w:rPr>
  </w:style>
  <w:style w:type="character" w:customStyle="1" w:styleId="23">
    <w:name w:val="标题 3 Char"/>
    <w:basedOn w:val="17"/>
    <w:link w:val="5"/>
    <w:autoRedefine/>
    <w:qFormat/>
    <w:uiPriority w:val="0"/>
    <w:rPr>
      <w:rFonts w:ascii="Times New Roman" w:hAnsi="Times New Roman" w:eastAsia="宋体" w:cs="Times New Roman"/>
      <w:b/>
      <w:bCs/>
      <w:sz w:val="32"/>
      <w:szCs w:val="32"/>
    </w:rPr>
  </w:style>
  <w:style w:type="character" w:customStyle="1" w:styleId="24">
    <w:name w:val="纯文本 Char"/>
    <w:link w:val="10"/>
    <w:autoRedefine/>
    <w:qFormat/>
    <w:uiPriority w:val="0"/>
    <w:rPr>
      <w:rFonts w:ascii="宋体" w:hAnsi="Courier New" w:eastAsia="宋体"/>
    </w:rPr>
  </w:style>
  <w:style w:type="character" w:customStyle="1" w:styleId="25">
    <w:name w:val="纯文本 Char1"/>
    <w:basedOn w:val="17"/>
    <w:autoRedefine/>
    <w:semiHidden/>
    <w:qFormat/>
    <w:uiPriority w:val="99"/>
    <w:rPr>
      <w:rFonts w:ascii="宋体" w:hAnsi="Courier New" w:eastAsia="宋体" w:cs="Courier New"/>
      <w:szCs w:val="21"/>
    </w:rPr>
  </w:style>
  <w:style w:type="paragraph" w:customStyle="1" w:styleId="26">
    <w:name w:val="Default"/>
    <w:autoRedefine/>
    <w:qFormat/>
    <w:uiPriority w:val="0"/>
    <w:pPr>
      <w:widowControl w:val="0"/>
      <w:autoSpaceDE w:val="0"/>
      <w:autoSpaceDN w:val="0"/>
      <w:adjustRightInd w:val="0"/>
    </w:pPr>
    <w:rPr>
      <w:rFonts w:ascii="黑体" w:hAnsi="Calibri" w:eastAsia="黑体" w:cs="黑体"/>
      <w:color w:val="000000"/>
      <w:sz w:val="24"/>
      <w:szCs w:val="24"/>
      <w:lang w:val="en-US" w:eastAsia="zh-CN" w:bidi="ar-SA"/>
    </w:rPr>
  </w:style>
  <w:style w:type="paragraph" w:styleId="27">
    <w:name w:val="List Paragraph"/>
    <w:basedOn w:val="1"/>
    <w:autoRedefine/>
    <w:qFormat/>
    <w:uiPriority w:val="34"/>
    <w:pPr>
      <w:ind w:firstLine="420" w:firstLineChars="200"/>
    </w:pPr>
    <w:rPr>
      <w:rFonts w:ascii="Calibri" w:hAnsi="Calibri"/>
      <w:szCs w:val="22"/>
    </w:rPr>
  </w:style>
  <w:style w:type="paragraph" w:customStyle="1" w:styleId="28">
    <w:name w:val="标准文本"/>
    <w:basedOn w:val="1"/>
    <w:qFormat/>
    <w:uiPriority w:val="99"/>
    <w:pPr>
      <w:spacing w:line="360" w:lineRule="auto"/>
      <w:ind w:firstLine="480" w:firstLineChars="200"/>
    </w:pPr>
    <w:rPr>
      <w:rFonts w:cs="宋体"/>
      <w:sz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6</Pages>
  <Words>2645</Words>
  <Characters>2694</Characters>
  <Lines>20</Lines>
  <Paragraphs>5</Paragraphs>
  <TotalTime>2</TotalTime>
  <ScaleCrop>false</ScaleCrop>
  <LinksUpToDate>false</LinksUpToDate>
  <CharactersWithSpaces>2705</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2022-01-10T09:07:00Z</dcterms:created>
  <dc:creator>朱明堂</dc:creator>
  <cp:lastModifiedBy>李颖莹</cp:lastModifiedBy>
  <cp:lastPrinted>2023-03-28T04:46:00Z</cp:lastPrinted>
  <dcterms:modified xsi:type="dcterms:W3CDTF">2026-06-18T07:02:20Z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D144FECBC4B549BBAEC07BF9EB9CBD37</vt:lpwstr>
  </property>
  <property fmtid="{D5CDD505-2E9C-101B-9397-08002B2CF9AE}" pid="4" name="KSOTemplateDocerSaveRecord">
    <vt:lpwstr>eyJoZGlkIjoiODg4Mjk4OTU3NTUxOTNhYmQwMDFjNDI1NWRiMjNhY2YiLCJ1c2VySWQiOiIxNTgzOTQxOTc5In0=</vt:lpwstr>
  </property>
</Properties>
</file>